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0B1136">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w:t>
      </w:r>
      <w:r w:rsidR="00ED2FB8">
        <w:rPr>
          <w:rFonts w:cs="Arial"/>
          <w:bCs/>
          <w:noProof w:val="0"/>
          <w:sz w:val="24"/>
          <w:szCs w:val="24"/>
          <w:lang w:val="de-DE"/>
        </w:rPr>
        <w:t>2</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0B1136">
        <w:rPr>
          <w:rFonts w:eastAsia="Malgun Gothic"/>
          <w:iCs/>
          <w:noProof w:val="0"/>
          <w:sz w:val="24"/>
          <w:szCs w:val="24"/>
          <w:lang w:val="de-DE" w:eastAsia="ko-KR"/>
        </w:rPr>
        <w:t>4476</w:t>
      </w:r>
    </w:p>
    <w:p w:rsidR="00B20062" w:rsidRPr="00CE753D" w:rsidRDefault="00ED2FB8" w:rsidP="00B20062">
      <w:pPr>
        <w:pStyle w:val="Header"/>
        <w:spacing w:after="240"/>
        <w:rPr>
          <w:noProof w:val="0"/>
          <w:sz w:val="24"/>
          <w:szCs w:val="24"/>
          <w:lang w:val="en-US"/>
        </w:rPr>
      </w:pPr>
      <w:r w:rsidRPr="00154C7F">
        <w:rPr>
          <w:rFonts w:cs="Arial"/>
          <w:bCs/>
          <w:sz w:val="24"/>
          <w:szCs w:val="24"/>
          <w:lang w:val="en-US" w:eastAsia="ja-JP"/>
        </w:rPr>
        <w:t>Beijing, August, 24</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- 28</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Aug</w:t>
      </w:r>
      <w:r w:rsidRPr="00154C7F">
        <w:rPr>
          <w:rFonts w:cs="Arial"/>
          <w:bCs/>
          <w:sz w:val="24"/>
          <w:szCs w:val="24"/>
        </w:rPr>
        <w:t xml:space="preserve">, </w:t>
      </w:r>
      <w:r w:rsidR="00B20062" w:rsidRPr="00CE753D">
        <w:rPr>
          <w:rFonts w:cs="Arial"/>
          <w:bCs/>
          <w:sz w:val="24"/>
          <w:szCs w:val="24"/>
        </w:rPr>
        <w:t>2015</w:t>
      </w:r>
    </w:p>
    <w:bookmarkEnd w:id="0"/>
    <w:bookmarkEnd w:id="1"/>
    <w:p w:rsidR="00B20062" w:rsidRPr="001F3166" w:rsidRDefault="00B20062" w:rsidP="000B1136">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0B1136">
        <w:rPr>
          <w:rFonts w:ascii="Arial" w:eastAsia="Malgun Gothic" w:hAnsi="Arial"/>
          <w:sz w:val="24"/>
          <w:szCs w:val="24"/>
          <w:lang w:eastAsia="ko-KR"/>
        </w:rPr>
        <w:t>7</w:t>
      </w:r>
      <w:r w:rsidR="00ED2FB8">
        <w:rPr>
          <w:rFonts w:ascii="Arial" w:eastAsia="Malgun Gothic" w:hAnsi="Arial"/>
          <w:sz w:val="24"/>
          <w:szCs w:val="24"/>
          <w:lang w:eastAsia="ko-KR"/>
        </w:rPr>
        <w:t>.</w:t>
      </w:r>
      <w:r w:rsidR="000B1136">
        <w:rPr>
          <w:rFonts w:ascii="Arial" w:eastAsia="Malgun Gothic" w:hAnsi="Arial"/>
          <w:sz w:val="24"/>
          <w:szCs w:val="24"/>
          <w:lang w:eastAsia="ko-KR"/>
        </w:rPr>
        <w:t>2</w:t>
      </w:r>
      <w:r w:rsidR="00ED2FB8">
        <w:rPr>
          <w:rFonts w:ascii="Arial" w:eastAsia="Malgun Gothic" w:hAnsi="Arial"/>
          <w:sz w:val="24"/>
          <w:szCs w:val="24"/>
          <w:lang w:eastAsia="ko-KR"/>
        </w:rPr>
        <w:t>.</w:t>
      </w:r>
      <w:r w:rsidR="000B1136">
        <w:rPr>
          <w:rFonts w:ascii="Arial" w:eastAsia="Malgun Gothic" w:hAnsi="Arial"/>
          <w:sz w:val="24"/>
          <w:szCs w:val="24"/>
          <w:lang w:eastAsia="ko-KR"/>
        </w:rPr>
        <w:t>1</w:t>
      </w:r>
      <w:r w:rsidR="00ED2FB8">
        <w:rPr>
          <w:rFonts w:ascii="Arial" w:eastAsia="Malgun Gothic" w:hAnsi="Arial"/>
          <w:sz w:val="24"/>
          <w:szCs w:val="24"/>
          <w:lang w:eastAsia="ko-KR"/>
        </w:rPr>
        <w:t>.</w:t>
      </w:r>
      <w:r w:rsidR="000B1136">
        <w:rPr>
          <w:rFonts w:ascii="Arial" w:eastAsia="Malgun Gothic" w:hAnsi="Arial"/>
          <w:sz w:val="24"/>
          <w:szCs w:val="24"/>
          <w:lang w:eastAsia="ko-KR"/>
        </w:rPr>
        <w:t>1</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0C37F6">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0C37F6">
        <w:rPr>
          <w:rFonts w:asciiTheme="minorBidi" w:hAnsiTheme="minorBidi" w:cstheme="minorBidi"/>
          <w:sz w:val="24"/>
          <w:szCs w:val="24"/>
        </w:rPr>
        <w:t>Number of HARQ Processes When in Coverage Enhancement</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ED2FB8" w:rsidRDefault="00ED2FB8" w:rsidP="002A057C">
      <w:pPr>
        <w:pStyle w:val="NoSpacing"/>
      </w:pPr>
      <w:r w:rsidRPr="00154C7F">
        <w:t xml:space="preserve">This </w:t>
      </w:r>
      <w:r w:rsidRPr="004D02DA">
        <w:t>contribution</w:t>
      </w:r>
      <w:r w:rsidRPr="00154C7F">
        <w:t xml:space="preserve"> </w:t>
      </w:r>
      <w:r w:rsidR="002A057C">
        <w:t>considers</w:t>
      </w:r>
      <w:r w:rsidRPr="00154C7F">
        <w:t xml:space="preserve"> the </w:t>
      </w:r>
      <w:r w:rsidR="0092595E">
        <w:t>number of HARQ Processes that should be supported when the UE is operating in Coverage Enhancement</w:t>
      </w:r>
      <w:r w:rsidR="00826ECB">
        <w:t xml:space="preserve"> [1]</w:t>
      </w:r>
      <w:r w:rsidR="0092595E">
        <w:t>. This was discussed in RAN1 #81 with the following agreement reached:</w:t>
      </w:r>
    </w:p>
    <w:p w:rsidR="00C80CCE" w:rsidRDefault="00C80CCE" w:rsidP="005C76EF">
      <w:pPr>
        <w:pStyle w:val="NoSpacing"/>
      </w:pPr>
    </w:p>
    <w:p w:rsidR="00C80CCE" w:rsidRPr="00C80CCE" w:rsidRDefault="00C80CCE" w:rsidP="00C80CCE">
      <w:pPr>
        <w:numPr>
          <w:ilvl w:val="0"/>
          <w:numId w:val="28"/>
        </w:numPr>
        <w:spacing w:after="0"/>
        <w:rPr>
          <w:i/>
          <w:iCs/>
          <w:lang w:eastAsia="ja-JP"/>
        </w:rPr>
      </w:pPr>
      <w:r w:rsidRPr="00C80CCE">
        <w:rPr>
          <w:i/>
          <w:iCs/>
          <w:lang w:eastAsia="ja-JP"/>
        </w:rPr>
        <w:t>For HD-FDD, FD-FDD, and TDD, if the UE is operating coverage enhancement:</w:t>
      </w:r>
    </w:p>
    <w:p w:rsidR="00C80CCE" w:rsidRPr="00C80CCE" w:rsidRDefault="00C80CCE" w:rsidP="00C80CCE">
      <w:pPr>
        <w:numPr>
          <w:ilvl w:val="1"/>
          <w:numId w:val="28"/>
        </w:numPr>
        <w:spacing w:after="0"/>
        <w:rPr>
          <w:i/>
          <w:iCs/>
          <w:lang w:eastAsia="ja-JP"/>
        </w:rPr>
      </w:pPr>
      <w:r w:rsidRPr="00C80CCE">
        <w:rPr>
          <w:i/>
          <w:iCs/>
          <w:lang w:eastAsia="ja-JP"/>
        </w:rPr>
        <w:t>UE is not expected to use more than N DL HARQ process to receive unicast PDSCH</w:t>
      </w:r>
    </w:p>
    <w:p w:rsidR="00C80CCE" w:rsidRPr="00C80CCE" w:rsidRDefault="00C80CCE" w:rsidP="00C80CCE">
      <w:pPr>
        <w:numPr>
          <w:ilvl w:val="1"/>
          <w:numId w:val="28"/>
        </w:numPr>
        <w:spacing w:after="0"/>
        <w:rPr>
          <w:i/>
          <w:iCs/>
          <w:lang w:eastAsia="ja-JP"/>
        </w:rPr>
      </w:pPr>
      <w:r w:rsidRPr="00C80CCE">
        <w:rPr>
          <w:i/>
          <w:iCs/>
          <w:lang w:eastAsia="ja-JP"/>
        </w:rPr>
        <w:t>UE is not expected to use more than M UL HARQ process to transmit unicast PUSCH</w:t>
      </w:r>
    </w:p>
    <w:p w:rsidR="00C80CCE" w:rsidRPr="00C80CCE" w:rsidRDefault="00C80CCE" w:rsidP="00C80CCE">
      <w:pPr>
        <w:numPr>
          <w:ilvl w:val="1"/>
          <w:numId w:val="28"/>
        </w:numPr>
        <w:spacing w:after="0"/>
        <w:rPr>
          <w:i/>
          <w:iCs/>
          <w:lang w:eastAsia="ja-JP"/>
        </w:rPr>
      </w:pPr>
      <w:r w:rsidRPr="00C80CCE">
        <w:rPr>
          <w:i/>
          <w:iCs/>
          <w:lang w:eastAsia="ja-JP"/>
        </w:rPr>
        <w:t xml:space="preserve">Value of N and value of </w:t>
      </w:r>
      <w:proofErr w:type="spellStart"/>
      <w:r w:rsidRPr="00C80CCE">
        <w:rPr>
          <w:i/>
          <w:iCs/>
          <w:lang w:eastAsia="ja-JP"/>
        </w:rPr>
        <w:t>M are</w:t>
      </w:r>
      <w:proofErr w:type="spellEnd"/>
      <w:r w:rsidRPr="00C80CCE">
        <w:rPr>
          <w:i/>
          <w:iCs/>
          <w:lang w:eastAsia="ja-JP"/>
        </w:rPr>
        <w:t xml:space="preserve"> FFS and could be different for different duplex modes</w:t>
      </w:r>
    </w:p>
    <w:p w:rsidR="00C80CCE" w:rsidRPr="00C80CCE" w:rsidRDefault="00C80CCE" w:rsidP="00C80CCE">
      <w:pPr>
        <w:numPr>
          <w:ilvl w:val="0"/>
          <w:numId w:val="28"/>
        </w:numPr>
        <w:spacing w:after="0"/>
        <w:rPr>
          <w:i/>
          <w:iCs/>
          <w:lang w:eastAsia="ja-JP"/>
        </w:rPr>
      </w:pPr>
      <w:r w:rsidRPr="00C80CCE">
        <w:rPr>
          <w:i/>
          <w:iCs/>
          <w:lang w:eastAsia="ja-JP"/>
        </w:rPr>
        <w:t>Companies may provide PDSCH/PUSCH simulation results to evaluate the potential reduction of the required number of repetitions</w:t>
      </w:r>
    </w:p>
    <w:p w:rsidR="00C80CCE" w:rsidRPr="00C80CCE" w:rsidRDefault="00C80CCE" w:rsidP="00C80CCE">
      <w:pPr>
        <w:numPr>
          <w:ilvl w:val="1"/>
          <w:numId w:val="28"/>
        </w:numPr>
        <w:spacing w:after="0"/>
        <w:rPr>
          <w:i/>
          <w:iCs/>
          <w:lang w:eastAsia="ja-JP"/>
        </w:rPr>
      </w:pPr>
      <w:r w:rsidRPr="00C80CCE">
        <w:rPr>
          <w:i/>
          <w:iCs/>
          <w:lang w:eastAsia="ja-JP"/>
        </w:rPr>
        <w:t>Note: The reference simulation case should apply frequency hopping</w:t>
      </w:r>
    </w:p>
    <w:p w:rsidR="00CE4C4B" w:rsidRDefault="00CE4C4B" w:rsidP="005C76EF">
      <w:pPr>
        <w:pStyle w:val="NoSpacing"/>
      </w:pPr>
    </w:p>
    <w:p w:rsidR="002A057C" w:rsidRDefault="002A057C" w:rsidP="002A057C">
      <w:pPr>
        <w:pStyle w:val="NoSpacing"/>
      </w:pPr>
      <w:r>
        <w:t xml:space="preserve">In the next section we consider the impact of supporting multiple HARQ processes on the ability of the network to fully exploit time diversity benefits. Simulation results showing the performance benefits of time diversity are shown in Sec. 3. Complexity considerations are discussed in Sec. 4. </w:t>
      </w:r>
    </w:p>
    <w:p w:rsidR="00193CF3" w:rsidRDefault="00193CF3" w:rsidP="00193CF3">
      <w:pPr>
        <w:pStyle w:val="Heading1"/>
        <w:numPr>
          <w:ilvl w:val="0"/>
          <w:numId w:val="1"/>
        </w:numPr>
        <w:rPr>
          <w:color w:val="auto"/>
        </w:rPr>
      </w:pPr>
      <w:r>
        <w:rPr>
          <w:color w:val="auto"/>
        </w:rPr>
        <w:t>Time Diversity Consideration</w:t>
      </w:r>
      <w:r w:rsidR="00311696">
        <w:rPr>
          <w:color w:val="auto"/>
        </w:rPr>
        <w:t>s</w:t>
      </w:r>
    </w:p>
    <w:p w:rsidR="00311696" w:rsidRDefault="00311696" w:rsidP="002A057C">
      <w:r>
        <w:t xml:space="preserve">Time Diversity can be an important means of improving MTC performance. MTC devices are expected to use 1 receive antenna which eliminates the receive antenna diversity normally enjoyed by LTE devices. In addition, MTC use cases are expected to include many applications involving stationary devices, where the multipath channel </w:t>
      </w:r>
      <w:r w:rsidR="002A057C">
        <w:t>may fade</w:t>
      </w:r>
      <w:r>
        <w:t xml:space="preserve"> very slowly with very small Doppler frequency</w:t>
      </w:r>
      <w:r w:rsidR="002A057C">
        <w:t xml:space="preserve"> (caused by changes in the surrounding environment)</w:t>
      </w:r>
      <w:r>
        <w:t xml:space="preserve">. The EPA 1 Hz channel is considered to be a realistic example for such scenarios – where even the frequency diversity available from the EPA channel is limited. Although, transmit diversity from the </w:t>
      </w:r>
      <w:proofErr w:type="spellStart"/>
      <w:r>
        <w:t>eNodeB</w:t>
      </w:r>
      <w:proofErr w:type="spellEnd"/>
      <w:r>
        <w:t xml:space="preserve"> can help alleviate this lack of diversity through the use of transmission schemes like SFBC, we show in the next section that time diversity can still significantly improve performance.</w:t>
      </w:r>
    </w:p>
    <w:p w:rsidR="00242999" w:rsidRDefault="0099508C" w:rsidP="004F0DDE">
      <w:r>
        <w:t xml:space="preserve">Supporting multiple HARQ processes enables the network to flexibly support increased time diversity. This can be illustrated by two simple examples shown in Figures 1 and 2 below where </w:t>
      </w:r>
      <w:r w:rsidRPr="00193CF3">
        <w:rPr>
          <w:i/>
          <w:iCs/>
        </w:rPr>
        <w:t>CC #k</w:t>
      </w:r>
      <w:r>
        <w:t xml:space="preserve"> refers to the MPDCCH channel scheduling the </w:t>
      </w:r>
      <w:r w:rsidRPr="00193CF3">
        <w:rPr>
          <w:i/>
          <w:iCs/>
        </w:rPr>
        <w:t>DC #k</w:t>
      </w:r>
      <w:r>
        <w:t xml:space="preserve">, i.e., the data channel HARQ process </w:t>
      </w:r>
      <w:r w:rsidRPr="00193CF3">
        <w:rPr>
          <w:i/>
          <w:iCs/>
        </w:rPr>
        <w:t>#k</w:t>
      </w:r>
      <w:r>
        <w:t xml:space="preserve">. In Figure 1, we assume only 1 HARQ process, where transport blocks are transmitted with 6 repetitions. </w:t>
      </w:r>
      <w:r w:rsidR="00311696">
        <w:t xml:space="preserve">In Figure 2, 4 HARQ processes are assumed where transport blocks are transmitted with </w:t>
      </w:r>
      <w:r w:rsidR="004F0DDE">
        <w:t>a similar</w:t>
      </w:r>
      <w:r w:rsidR="00311696">
        <w:t xml:space="preserve"> number of repetitions – but over a time interval 4 times that of </w:t>
      </w:r>
      <w:r w:rsidR="002A057C">
        <w:t>each transport block in</w:t>
      </w:r>
      <w:r w:rsidR="00311696">
        <w:t xml:space="preserve"> Figure 1.</w:t>
      </w:r>
      <w:r>
        <w:t xml:space="preserve"> (In both </w:t>
      </w:r>
      <w:r w:rsidR="004F0DDE">
        <w:t xml:space="preserve">examples </w:t>
      </w:r>
      <w:r>
        <w:t xml:space="preserve">repetitions are not assumed necessary for the smaller control channel.) The time diversity achieved by the example in Figure 2 is 4 times that achieved in Figure 1. Thus interleaving the </w:t>
      </w:r>
      <w:r w:rsidR="002A057C">
        <w:t>Coverage E</w:t>
      </w:r>
      <w:r>
        <w:t xml:space="preserve">nhancement repetitions in time using multiple HARQ processes is expected to be more spectrally efficient – but at the expense of increased latency. </w:t>
      </w:r>
    </w:p>
    <w:p w:rsidR="00A574AC" w:rsidRDefault="00A574AC" w:rsidP="0099508C"/>
    <w:p w:rsidR="00193CF3" w:rsidRPr="00193CF3" w:rsidRDefault="00CE53A2" w:rsidP="00193CF3">
      <w:r>
        <w:object w:dxaOrig="18605" w:dyaOrig="1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4pt;height:40.9pt" o:ole="">
            <v:imagedata r:id="rId7" o:title=""/>
          </v:shape>
          <o:OLEObject Type="Embed" ProgID="" ShapeID="_x0000_i1025" DrawAspect="Content" ObjectID="_1501001531" r:id="rId8"/>
        </w:object>
      </w:r>
    </w:p>
    <w:p w:rsidR="00A574AC" w:rsidRDefault="00A574AC" w:rsidP="004F0DDE">
      <w:pPr>
        <w:pStyle w:val="Caption"/>
      </w:pPr>
      <w:r>
        <w:t xml:space="preserve">Figure </w:t>
      </w:r>
      <w:r w:rsidR="000B1136">
        <w:fldChar w:fldCharType="begin"/>
      </w:r>
      <w:r w:rsidR="000B1136">
        <w:instrText xml:space="preserve"> SEQ Figure \* ARABIC </w:instrText>
      </w:r>
      <w:r w:rsidR="000B1136">
        <w:fldChar w:fldCharType="separate"/>
      </w:r>
      <w:r>
        <w:rPr>
          <w:noProof/>
        </w:rPr>
        <w:t>1</w:t>
      </w:r>
      <w:r w:rsidR="000B1136">
        <w:rPr>
          <w:noProof/>
        </w:rPr>
        <w:fldChar w:fldCharType="end"/>
      </w:r>
      <w:r>
        <w:t xml:space="preserve">: Transmitting 6 repetitions </w:t>
      </w:r>
      <w:r w:rsidR="004F0DDE">
        <w:t xml:space="preserve">per transport block </w:t>
      </w:r>
      <w:r>
        <w:t>with a single HARQ process</w:t>
      </w:r>
    </w:p>
    <w:p w:rsidR="00E04763" w:rsidRDefault="00E04763" w:rsidP="00E04763">
      <w:r>
        <w:object w:dxaOrig="18605" w:dyaOrig="1505">
          <v:shape id="_x0000_i1026" type="#_x0000_t75" style="width:503.4pt;height:40.9pt" o:ole="">
            <v:imagedata r:id="rId9" o:title=""/>
          </v:shape>
          <o:OLEObject Type="Embed" ProgID="" ShapeID="_x0000_i1026" DrawAspect="Content" ObjectID="_1501001532" r:id="rId10"/>
        </w:object>
      </w:r>
    </w:p>
    <w:p w:rsidR="00E04763" w:rsidRDefault="00E04763" w:rsidP="00E04763">
      <w:pPr>
        <w:pStyle w:val="Caption"/>
      </w:pPr>
      <w:r>
        <w:t xml:space="preserve">Figure </w:t>
      </w:r>
      <w:r w:rsidR="000B1136">
        <w:fldChar w:fldCharType="begin"/>
      </w:r>
      <w:r w:rsidR="000B1136">
        <w:instrText xml:space="preserve"> SEQ Figure \* ARABIC </w:instrText>
      </w:r>
      <w:r w:rsidR="000B1136">
        <w:fldChar w:fldCharType="separate"/>
      </w:r>
      <w:r>
        <w:rPr>
          <w:noProof/>
        </w:rPr>
        <w:t>2</w:t>
      </w:r>
      <w:r w:rsidR="000B1136">
        <w:rPr>
          <w:noProof/>
        </w:rPr>
        <w:fldChar w:fldCharType="end"/>
      </w:r>
      <w:r>
        <w:t>: Transmitting 4 transport blocks with close to 6 repetitions each with 4 HARQ processes</w:t>
      </w:r>
    </w:p>
    <w:p w:rsidR="00305A07" w:rsidRDefault="00305A07" w:rsidP="002A057C">
      <w:r>
        <w:t>If we wanted to attain the same time diversity in Figure 2 with only 1 HARQ process then we could only transmit a single transport block at a time – reducing the overall sustained throughput. In general, the sustained throughput obtainable with a single HARQ process would be approximately 1000</w:t>
      </w:r>
      <w:proofErr w:type="gramStart"/>
      <w:r>
        <w:t>/</w:t>
      </w:r>
      <w:r w:rsidR="00B5641D">
        <w:t>(</w:t>
      </w:r>
      <w:proofErr w:type="spellStart"/>
      <w:proofErr w:type="gramEnd"/>
      <w:r>
        <w:t>TX_Period</w:t>
      </w:r>
      <w:proofErr w:type="spellEnd"/>
      <w:r w:rsidR="00B5641D">
        <w:t>*</w:t>
      </w:r>
      <w:proofErr w:type="spellStart"/>
      <w:r w:rsidR="00B5641D">
        <w:t>Num_Reps</w:t>
      </w:r>
      <w:proofErr w:type="spellEnd"/>
      <w:r w:rsidR="00B5641D">
        <w:t>)</w:t>
      </w:r>
      <w:r>
        <w:t xml:space="preserve"> bits per second, where </w:t>
      </w:r>
      <w:proofErr w:type="spellStart"/>
      <w:r>
        <w:t>TX_Period</w:t>
      </w:r>
      <w:proofErr w:type="spellEnd"/>
      <w:r>
        <w:t xml:space="preserve"> is the time between </w:t>
      </w:r>
      <w:r w:rsidR="002A057C">
        <w:t>repetitions</w:t>
      </w:r>
      <w:r w:rsidR="00B5641D">
        <w:t xml:space="preserve"> and </w:t>
      </w:r>
      <w:proofErr w:type="spellStart"/>
      <w:r w:rsidR="00B5641D">
        <w:t>Num_Reps</w:t>
      </w:r>
      <w:proofErr w:type="spellEnd"/>
      <w:r w:rsidR="00B5641D">
        <w:t xml:space="preserve"> </w:t>
      </w:r>
      <w:r w:rsidR="002A057C">
        <w:t>is</w:t>
      </w:r>
      <w:r w:rsidR="00B5641D">
        <w:t xml:space="preserve"> the number of repetitions</w:t>
      </w:r>
      <w:r w:rsidR="002A057C">
        <w:t xml:space="preserve"> (and 1000 is the maximum TBS)</w:t>
      </w:r>
      <w:r>
        <w:t xml:space="preserve">. Using </w:t>
      </w:r>
      <w:r w:rsidR="00176515">
        <w:t>multiple HARQ processes allows the sustained throughput to increase</w:t>
      </w:r>
      <w:r>
        <w:t xml:space="preserve">. </w:t>
      </w:r>
    </w:p>
    <w:p w:rsidR="00305A07" w:rsidRPr="00285707" w:rsidRDefault="00305A07" w:rsidP="002A057C">
      <w:pPr>
        <w:rPr>
          <w:b/>
          <w:bCs/>
        </w:rPr>
      </w:pPr>
      <w:r w:rsidRPr="00285707">
        <w:rPr>
          <w:b/>
          <w:bCs/>
        </w:rPr>
        <w:t xml:space="preserve">Observation 1: Using multiple HARQ processes increases the network’s flexibility to exploit time diversity while </w:t>
      </w:r>
      <w:r w:rsidR="002A057C">
        <w:rPr>
          <w:b/>
          <w:bCs/>
        </w:rPr>
        <w:t>mitigating</w:t>
      </w:r>
      <w:r w:rsidRPr="00285707">
        <w:rPr>
          <w:b/>
          <w:bCs/>
        </w:rPr>
        <w:t xml:space="preserve"> the throughput loss.</w:t>
      </w:r>
    </w:p>
    <w:p w:rsidR="00783FE3" w:rsidRDefault="00783FE3" w:rsidP="00CC2D29"/>
    <w:p w:rsidR="00177E14" w:rsidRDefault="00FD01F2" w:rsidP="004F0DDE">
      <w:r>
        <w:t>We note that Figure 2 assume</w:t>
      </w:r>
      <w:r w:rsidR="004F0DDE">
        <w:t>s</w:t>
      </w:r>
      <w:r>
        <w:t xml:space="preserve"> the ability to multiplex MPDCCH and an unassociated PDSC</w:t>
      </w:r>
      <w:r w:rsidR="002A057C">
        <w:t>H in Coverage E</w:t>
      </w:r>
      <w:r>
        <w:t>nhancement – a feature which is still under discussion. See [</w:t>
      </w:r>
      <w:r w:rsidR="002A057C">
        <w:fldChar w:fldCharType="begin"/>
      </w:r>
      <w:r w:rsidR="002A057C">
        <w:instrText xml:space="preserve"> REF _Ref427004912 \r \h </w:instrText>
      </w:r>
      <w:r w:rsidR="002A057C">
        <w:fldChar w:fldCharType="separate"/>
      </w:r>
      <w:r w:rsidR="002A057C">
        <w:rPr>
          <w:cs/>
        </w:rPr>
        <w:t>‎</w:t>
      </w:r>
      <w:r w:rsidR="002A057C">
        <w:t>3</w:t>
      </w:r>
      <w:r w:rsidR="002A057C">
        <w:fldChar w:fldCharType="end"/>
      </w:r>
      <w:r>
        <w:t xml:space="preserve">]. </w:t>
      </w:r>
      <w:r w:rsidR="004F0DDE">
        <w:t>T</w:t>
      </w:r>
      <w:r w:rsidR="00177E14">
        <w:t xml:space="preserve">his feature is particularly </w:t>
      </w:r>
      <w:r w:rsidR="004F0DDE">
        <w:t xml:space="preserve">useful </w:t>
      </w:r>
      <w:r w:rsidR="00177E14">
        <w:t>when dealing with multiple interleaved HARQ processes such as in Figure 2 (and especially if the MPDCCH also undergoes repetitions)</w:t>
      </w:r>
      <w:r>
        <w:t xml:space="preserve">. </w:t>
      </w:r>
      <w:r w:rsidR="00177E14">
        <w:t>This feature is already agreed to be supported in Normal Coverage.</w:t>
      </w:r>
    </w:p>
    <w:p w:rsidR="00FD01F2" w:rsidRPr="00285707" w:rsidRDefault="00FD01F2" w:rsidP="00177E14">
      <w:pPr>
        <w:rPr>
          <w:b/>
          <w:bCs/>
        </w:rPr>
      </w:pPr>
      <w:r w:rsidRPr="00285707">
        <w:rPr>
          <w:b/>
          <w:bCs/>
        </w:rPr>
        <w:t>Observation</w:t>
      </w:r>
      <w:r>
        <w:rPr>
          <w:b/>
          <w:bCs/>
        </w:rPr>
        <w:t xml:space="preserve"> 2</w:t>
      </w:r>
      <w:r w:rsidRPr="00285707">
        <w:rPr>
          <w:b/>
          <w:bCs/>
        </w:rPr>
        <w:t xml:space="preserve">: </w:t>
      </w:r>
      <w:r>
        <w:rPr>
          <w:b/>
          <w:bCs/>
        </w:rPr>
        <w:t xml:space="preserve">Support for multiplexing MPDCCH with an </w:t>
      </w:r>
      <w:r w:rsidR="00023B02">
        <w:rPr>
          <w:b/>
          <w:bCs/>
        </w:rPr>
        <w:t>unassociated PDSCH in Coverage E</w:t>
      </w:r>
      <w:r>
        <w:rPr>
          <w:b/>
          <w:bCs/>
        </w:rPr>
        <w:t xml:space="preserve">nhancement </w:t>
      </w:r>
      <w:r w:rsidR="00177E14">
        <w:rPr>
          <w:b/>
          <w:bCs/>
        </w:rPr>
        <w:t>increases</w:t>
      </w:r>
      <w:r>
        <w:rPr>
          <w:b/>
          <w:bCs/>
        </w:rPr>
        <w:t xml:space="preserve"> scheduling flexibility – including the ability to efficiently utilize time diversity with multiple HARQ processes</w:t>
      </w:r>
      <w:r w:rsidRPr="00285707">
        <w:rPr>
          <w:b/>
          <w:bCs/>
        </w:rPr>
        <w:t>.</w:t>
      </w:r>
    </w:p>
    <w:p w:rsidR="00023B02" w:rsidRDefault="00023B02" w:rsidP="00CC2D29">
      <w:r>
        <w:t>Based on this observation, it was proposed in [</w:t>
      </w:r>
      <w:r>
        <w:fldChar w:fldCharType="begin"/>
      </w:r>
      <w:r>
        <w:instrText xml:space="preserve"> REF _Ref427004912 \r \h </w:instrText>
      </w:r>
      <w:r>
        <w:fldChar w:fldCharType="separate"/>
      </w:r>
      <w:r>
        <w:rPr>
          <w:cs/>
        </w:rPr>
        <w:t>‎</w:t>
      </w:r>
      <w:r>
        <w:t>3</w:t>
      </w:r>
      <w:r>
        <w:fldChar w:fldCharType="end"/>
      </w:r>
      <w:r>
        <w:t>] to consider supporting multiplexing of MPDCCH with unassociated PDSCH while in Coverage Enhancement.</w:t>
      </w:r>
    </w:p>
    <w:p w:rsidR="00023B02" w:rsidRDefault="00023B02" w:rsidP="00CC2D29"/>
    <w:p w:rsidR="00305A07" w:rsidRDefault="00285707" w:rsidP="00CC2D29">
      <w:r>
        <w:t>For applications which are relatively insensitive to delay, the transmission can be spread over a much larger time than the</w:t>
      </w:r>
      <w:r w:rsidR="002A057C">
        <w:t xml:space="preserve"> number of HARQ processes, thus</w:t>
      </w:r>
      <w:r>
        <w:t xml:space="preserve"> increasing time diversity. This is illustrated in Figure 3 below, where in this example </w:t>
      </w:r>
      <w:r w:rsidR="00CC2D29">
        <w:t>the MPDCCH is repeated 4 times for each of the two HARQ processes shown, and the data ch</w:t>
      </w:r>
      <w:r w:rsidR="00B5641D">
        <w:t xml:space="preserve">annels are repeated every 10 </w:t>
      </w:r>
      <w:proofErr w:type="spellStart"/>
      <w:r w:rsidR="00B5641D">
        <w:t>ms</w:t>
      </w:r>
      <w:proofErr w:type="spellEnd"/>
      <w:r w:rsidR="00B5641D">
        <w:t xml:space="preserve"> (total repetitions not shown).</w:t>
      </w:r>
      <w:r w:rsidR="00176515">
        <w:t xml:space="preserve"> In this case, the use of 2 HARQ processes allows t</w:t>
      </w:r>
      <w:r w:rsidR="002A057C">
        <w:t>he overall throughput to double</w:t>
      </w:r>
      <w:r w:rsidR="00176515">
        <w:t xml:space="preserve"> while exploiting increased time diversity from the 10 </w:t>
      </w:r>
      <w:proofErr w:type="spellStart"/>
      <w:r w:rsidR="00176515">
        <w:t>ms</w:t>
      </w:r>
      <w:proofErr w:type="spellEnd"/>
      <w:r w:rsidR="00176515">
        <w:t xml:space="preserve"> between transmissions.</w:t>
      </w:r>
    </w:p>
    <w:p w:rsidR="00305A07" w:rsidRDefault="009A0D66" w:rsidP="00305A07">
      <w:r>
        <w:object w:dxaOrig="19019" w:dyaOrig="1476">
          <v:shape id="_x0000_i1027" type="#_x0000_t75" style="width:502.85pt;height:39.15pt" o:ole="">
            <v:imagedata r:id="rId11" o:title=""/>
          </v:shape>
          <o:OLEObject Type="Embed" ProgID="" ShapeID="_x0000_i1027" DrawAspect="Content" ObjectID="_1501001533" r:id="rId12"/>
        </w:object>
      </w:r>
    </w:p>
    <w:p w:rsidR="009A0D66" w:rsidRDefault="009A0D66" w:rsidP="009A0D66">
      <w:pPr>
        <w:pStyle w:val="Caption"/>
      </w:pPr>
      <w:r>
        <w:t xml:space="preserve">Figure </w:t>
      </w:r>
      <w:r w:rsidR="000B1136">
        <w:fldChar w:fldCharType="begin"/>
      </w:r>
      <w:r w:rsidR="000B1136">
        <w:instrText xml:space="preserve"> SEQ Figure \* ARABIC </w:instrText>
      </w:r>
      <w:r w:rsidR="000B1136">
        <w:fldChar w:fldCharType="separate"/>
      </w:r>
      <w:r w:rsidR="00637949">
        <w:rPr>
          <w:noProof/>
        </w:rPr>
        <w:t>3</w:t>
      </w:r>
      <w:r w:rsidR="000B1136">
        <w:rPr>
          <w:noProof/>
        </w:rPr>
        <w:fldChar w:fldCharType="end"/>
      </w:r>
      <w:r>
        <w:t xml:space="preserve">: Transmitting with 2 HARQ processes with 10 </w:t>
      </w:r>
      <w:proofErr w:type="spellStart"/>
      <w:r>
        <w:t>ms</w:t>
      </w:r>
      <w:proofErr w:type="spellEnd"/>
      <w:r>
        <w:t xml:space="preserve"> between repetitions</w:t>
      </w:r>
    </w:p>
    <w:p w:rsidR="00176515" w:rsidRDefault="00176515" w:rsidP="00637949">
      <w:r>
        <w:t xml:space="preserve">In some cases, the device may be supporting 2 applications at the same time – one with more </w:t>
      </w:r>
      <w:r w:rsidR="00637949">
        <w:t xml:space="preserve">stringent </w:t>
      </w:r>
      <w:r>
        <w:t xml:space="preserve">latency requirements than the other. In this case, the use of multiple HARQ processes allows </w:t>
      </w:r>
      <w:r w:rsidR="00637949">
        <w:t>maximizing the time diversity for the delay-insensitive transmission by spreading out the repetitions in time – while still satisfying the</w:t>
      </w:r>
      <w:r>
        <w:t xml:space="preserve"> latency requirements </w:t>
      </w:r>
      <w:r w:rsidR="00637949">
        <w:t xml:space="preserve">of the more delay-sensitive transmission. An example of this is illustrated in Figure 4 below, where </w:t>
      </w:r>
      <w:r w:rsidR="00F94D02">
        <w:t xml:space="preserve">the first (delay-insensitive) HARQ process transmits data repetitions once every 20 </w:t>
      </w:r>
      <w:proofErr w:type="spellStart"/>
      <w:r w:rsidR="00F94D02">
        <w:t>ms</w:t>
      </w:r>
      <w:proofErr w:type="spellEnd"/>
      <w:r w:rsidR="00F94D02">
        <w:t xml:space="preserve"> and the second (delay-sensitive) HARQ process transmits 8 repetitions consecutively</w:t>
      </w:r>
      <w:r w:rsidR="002A057C">
        <w:t xml:space="preserve"> between transmissions of the first HARQ process</w:t>
      </w:r>
      <w:r w:rsidR="00F94D02">
        <w:t>.</w:t>
      </w:r>
    </w:p>
    <w:p w:rsidR="00D55CC6" w:rsidRDefault="00D55CC6" w:rsidP="00637949">
      <w:r>
        <w:object w:dxaOrig="19019" w:dyaOrig="1476">
          <v:shape id="_x0000_i1028" type="#_x0000_t75" style="width:502.85pt;height:39.15pt" o:ole="">
            <v:imagedata r:id="rId13" o:title=""/>
          </v:shape>
          <o:OLEObject Type="Embed" ProgID="" ShapeID="_x0000_i1028" DrawAspect="Content" ObjectID="_1501001534" r:id="rId14"/>
        </w:object>
      </w:r>
    </w:p>
    <w:p w:rsidR="00F94D02" w:rsidRDefault="00F94D02" w:rsidP="0073799F">
      <w:pPr>
        <w:pStyle w:val="Caption"/>
      </w:pPr>
      <w:r>
        <w:t xml:space="preserve">Figure </w:t>
      </w:r>
      <w:r w:rsidR="000B1136">
        <w:fldChar w:fldCharType="begin"/>
      </w:r>
      <w:r w:rsidR="000B1136">
        <w:instrText xml:space="preserve"> SEQ Figure \* ARABIC </w:instrText>
      </w:r>
      <w:r w:rsidR="000B1136">
        <w:fldChar w:fldCharType="separate"/>
      </w:r>
      <w:r>
        <w:rPr>
          <w:noProof/>
        </w:rPr>
        <w:t>4</w:t>
      </w:r>
      <w:r w:rsidR="000B1136">
        <w:rPr>
          <w:noProof/>
        </w:rPr>
        <w:fldChar w:fldCharType="end"/>
      </w:r>
      <w:r>
        <w:t xml:space="preserve">: Using one HARQ process to transmit with 20 </w:t>
      </w:r>
      <w:proofErr w:type="spellStart"/>
      <w:r>
        <w:t>ms</w:t>
      </w:r>
      <w:proofErr w:type="spellEnd"/>
      <w:r>
        <w:t xml:space="preserve"> period while using a second HARQ process to bundle repetitions consecutively in order to satisfy latency requirements.</w:t>
      </w:r>
    </w:p>
    <w:p w:rsidR="00F94D02" w:rsidRPr="00285707" w:rsidRDefault="00F94D02" w:rsidP="00F94D02">
      <w:pPr>
        <w:rPr>
          <w:b/>
          <w:bCs/>
        </w:rPr>
      </w:pPr>
      <w:r w:rsidRPr="00285707">
        <w:rPr>
          <w:b/>
          <w:bCs/>
        </w:rPr>
        <w:lastRenderedPageBreak/>
        <w:t>Observation</w:t>
      </w:r>
      <w:r w:rsidR="00177E14">
        <w:rPr>
          <w:b/>
          <w:bCs/>
        </w:rPr>
        <w:t xml:space="preserve"> 3</w:t>
      </w:r>
      <w:r w:rsidRPr="00285707">
        <w:rPr>
          <w:b/>
          <w:bCs/>
        </w:rPr>
        <w:t xml:space="preserve">: Using multiple HARQ processes increases the network’s flexibility to </w:t>
      </w:r>
      <w:r>
        <w:rPr>
          <w:b/>
          <w:bCs/>
        </w:rPr>
        <w:t>maximize</w:t>
      </w:r>
      <w:r w:rsidRPr="00285707">
        <w:rPr>
          <w:b/>
          <w:bCs/>
        </w:rPr>
        <w:t xml:space="preserve"> time diversity</w:t>
      </w:r>
      <w:r>
        <w:rPr>
          <w:b/>
          <w:bCs/>
        </w:rPr>
        <w:t xml:space="preserve"> for delay-insensitive transmissions while still meeting latency requirements for delay-sensitive transmissions</w:t>
      </w:r>
      <w:r w:rsidRPr="00285707">
        <w:rPr>
          <w:b/>
          <w:bCs/>
        </w:rPr>
        <w:t>.</w:t>
      </w:r>
    </w:p>
    <w:p w:rsidR="00203B90" w:rsidRDefault="00203B90" w:rsidP="00B0691B">
      <w:r>
        <w:t xml:space="preserve">We note that spreading the </w:t>
      </w:r>
      <w:r w:rsidR="002A057C">
        <w:t>repetitions</w:t>
      </w:r>
      <w:r>
        <w:t xml:space="preserve"> out in time can increase device power consumption if the device remains awake throughout. Therefore, the UE should sleep between transmissions when possible. </w:t>
      </w:r>
      <w:r w:rsidR="00DE6114">
        <w:t xml:space="preserve">In this case, since the increased time diversity allows a reduction in required repetitions, the overall </w:t>
      </w:r>
      <w:r w:rsidR="00B0691B">
        <w:t xml:space="preserve">effect </w:t>
      </w:r>
      <w:r w:rsidR="00DE6114">
        <w:t>should be to reduce power consumption relative to the case of consecutive repetitions.</w:t>
      </w:r>
    </w:p>
    <w:p w:rsidR="00203B90" w:rsidRPr="00783FE3" w:rsidRDefault="00177E14" w:rsidP="00DB3896">
      <w:pPr>
        <w:rPr>
          <w:b/>
          <w:bCs/>
        </w:rPr>
      </w:pPr>
      <w:r>
        <w:rPr>
          <w:b/>
          <w:bCs/>
        </w:rPr>
        <w:t>Observation 4</w:t>
      </w:r>
      <w:r w:rsidR="00203B90" w:rsidRPr="00783FE3">
        <w:rPr>
          <w:b/>
          <w:bCs/>
        </w:rPr>
        <w:t xml:space="preserve">: </w:t>
      </w:r>
      <w:r w:rsidR="00DE6114" w:rsidRPr="00783FE3">
        <w:rPr>
          <w:b/>
          <w:bCs/>
        </w:rPr>
        <w:t>Spreading out the repetitions in time can reduce the total</w:t>
      </w:r>
      <w:r w:rsidR="00D87B2D" w:rsidRPr="00783FE3">
        <w:rPr>
          <w:b/>
          <w:bCs/>
        </w:rPr>
        <w:t xml:space="preserve"> number of required repetitions. Assuming the </w:t>
      </w:r>
      <w:r w:rsidR="00DB3896">
        <w:rPr>
          <w:b/>
          <w:bCs/>
        </w:rPr>
        <w:t>MTC device</w:t>
      </w:r>
      <w:r w:rsidR="00D87B2D" w:rsidRPr="00783FE3">
        <w:rPr>
          <w:b/>
          <w:bCs/>
        </w:rPr>
        <w:t xml:space="preserve"> sleeps between transmissions, this </w:t>
      </w:r>
      <w:r w:rsidR="00DB3896">
        <w:rPr>
          <w:b/>
          <w:bCs/>
        </w:rPr>
        <w:t>leads</w:t>
      </w:r>
      <w:r w:rsidR="00D87B2D" w:rsidRPr="00783FE3">
        <w:rPr>
          <w:b/>
          <w:bCs/>
        </w:rPr>
        <w:t xml:space="preserve"> to reduced power consumption.</w:t>
      </w:r>
    </w:p>
    <w:p w:rsidR="00AE571A" w:rsidRDefault="00AE571A" w:rsidP="00AE571A">
      <w:pPr>
        <w:pStyle w:val="Heading1"/>
        <w:numPr>
          <w:ilvl w:val="0"/>
          <w:numId w:val="1"/>
        </w:numPr>
        <w:rPr>
          <w:color w:val="auto"/>
        </w:rPr>
      </w:pPr>
      <w:r>
        <w:rPr>
          <w:color w:val="auto"/>
        </w:rPr>
        <w:t>Time Diversity Performance</w:t>
      </w:r>
    </w:p>
    <w:p w:rsidR="00193CF3" w:rsidRDefault="00AE571A" w:rsidP="00D8592B">
      <w:r>
        <w:t>In this section we evaluate the gains available from spreading the repetitions</w:t>
      </w:r>
      <w:r w:rsidR="002A057C">
        <w:t xml:space="preserve"> out in time when operating in Coverage E</w:t>
      </w:r>
      <w:r>
        <w:t xml:space="preserve">nhancement. We consider a single receive antenna, EPA 1 Hz channel, fixed 100 </w:t>
      </w:r>
      <w:r w:rsidR="002A057C">
        <w:t xml:space="preserve">Hz </w:t>
      </w:r>
      <w:r>
        <w:t>frequency error, TM2 (</w:t>
      </w:r>
      <w:r w:rsidR="00D8592B">
        <w:t xml:space="preserve">transmit </w:t>
      </w:r>
      <w:r>
        <w:t>diversity), and 2-subframe channel estimation. The transport block size is that of MCS 5 – 504 bits + CRC = 528 bits. The full simulation assumptions are listed in Appendix 1.</w:t>
      </w:r>
    </w:p>
    <w:p w:rsidR="00193CF3" w:rsidRDefault="00AB505E" w:rsidP="009604C5">
      <w:r>
        <w:t>Results</w:t>
      </w:r>
      <w:r w:rsidR="00DB3896">
        <w:t xml:space="preserve"> representing the required number of repetitions to achieve 10% BLER</w:t>
      </w:r>
      <w:r>
        <w:t xml:space="preserve"> are shown in Table 1 for different transmission periods: 1, 4, 10, and 20 </w:t>
      </w:r>
      <w:proofErr w:type="spellStart"/>
      <w:proofErr w:type="gramStart"/>
      <w:r>
        <w:t>ms</w:t>
      </w:r>
      <w:proofErr w:type="gramEnd"/>
      <w:r>
        <w:t>.</w:t>
      </w:r>
      <w:proofErr w:type="spellEnd"/>
      <w:r>
        <w:t xml:space="preserve"> The SNR is fixed at -14.3 dB – i.e., maximum coverage enhancement. Three cases of frequency hopping </w:t>
      </w:r>
      <w:r w:rsidR="002A057C">
        <w:t xml:space="preserve">(FH) </w:t>
      </w:r>
      <w:r>
        <w:t xml:space="preserve">are considered: FH disabled, FH </w:t>
      </w:r>
      <w:proofErr w:type="gramStart"/>
      <w:r>
        <w:t>over 5 MHz system bandwidth,</w:t>
      </w:r>
      <w:proofErr w:type="gramEnd"/>
      <w:r>
        <w:t xml:space="preserve"> and FH over 10 MHz system bandwidth. </w:t>
      </w:r>
      <w:r w:rsidR="009604C5">
        <w:t xml:space="preserve">(FH period is 20 </w:t>
      </w:r>
      <w:proofErr w:type="spellStart"/>
      <w:r w:rsidR="009604C5">
        <w:t>ms</w:t>
      </w:r>
      <w:proofErr w:type="spellEnd"/>
      <w:r w:rsidR="009604C5">
        <w:t>, but performance was shown to be relatively insensitive to FH period in [</w:t>
      </w:r>
      <w:r w:rsidR="009604C5">
        <w:fldChar w:fldCharType="begin"/>
      </w:r>
      <w:r w:rsidR="009604C5">
        <w:instrText xml:space="preserve"> REF _Ref427075143 \r \h </w:instrText>
      </w:r>
      <w:r w:rsidR="009604C5">
        <w:fldChar w:fldCharType="separate"/>
      </w:r>
      <w:r w:rsidR="009604C5">
        <w:rPr>
          <w:cs/>
        </w:rPr>
        <w:t>‎</w:t>
      </w:r>
      <w:r w:rsidR="009604C5">
        <w:t>4</w:t>
      </w:r>
      <w:r w:rsidR="009604C5">
        <w:fldChar w:fldCharType="end"/>
      </w:r>
      <w:r w:rsidR="009604C5">
        <w:t xml:space="preserve">].) </w:t>
      </w:r>
      <w:r>
        <w:t>We see that a substantial reduction in the number of required repetitions are achieved by spreading the repetitions over time</w:t>
      </w:r>
      <w:r w:rsidR="00E14328">
        <w:t xml:space="preserve"> – even when frequency hopping is enabled. Assuming a 20 </w:t>
      </w:r>
      <w:proofErr w:type="spellStart"/>
      <w:r w:rsidR="00E14328">
        <w:t>ms</w:t>
      </w:r>
      <w:proofErr w:type="spellEnd"/>
      <w:r w:rsidR="00E14328">
        <w:t xml:space="preserve"> transmission period, the required number of repetitions is reduced by approximately a factor of 2 when frequency hopping is enabled.</w:t>
      </w:r>
    </w:p>
    <w:p w:rsidR="00DB3896" w:rsidRDefault="00DB3896" w:rsidP="00E14328">
      <w:r>
        <w:t xml:space="preserve">Results are also shown in Table 2 for the same scenarios, </w:t>
      </w:r>
      <w:r w:rsidR="00E14328">
        <w:t xml:space="preserve">but in this case with a fixed 100 repetitions. The values shown represent the SNR required to achieve 10% BLER. We see that spreading out the repetitions in time yields a significant reduction in the required SNR. </w:t>
      </w:r>
    </w:p>
    <w:p w:rsidR="002A057C" w:rsidRDefault="002A057C" w:rsidP="00E14328">
      <w:r>
        <w:t>Figures corresponding to the results in Tables 1 and 2 can be found in Appendix 2 and 3, respectively.</w:t>
      </w:r>
    </w:p>
    <w:p w:rsidR="00826ECB" w:rsidRDefault="00826ECB" w:rsidP="00826ECB">
      <w:pPr>
        <w:pStyle w:val="NoSpacing"/>
        <w:rPr>
          <w:b/>
          <w:bCs/>
        </w:rPr>
      </w:pPr>
      <w:r>
        <w:rPr>
          <w:b/>
          <w:bCs/>
        </w:rPr>
        <w:t>Observation 5</w:t>
      </w:r>
      <w:r w:rsidRPr="00391E39">
        <w:rPr>
          <w:b/>
          <w:bCs/>
        </w:rPr>
        <w:t xml:space="preserve">: </w:t>
      </w:r>
      <w:r>
        <w:rPr>
          <w:b/>
          <w:bCs/>
        </w:rPr>
        <w:t>Simulation results illustrate that s</w:t>
      </w:r>
      <w:r w:rsidRPr="00391E39">
        <w:rPr>
          <w:b/>
          <w:bCs/>
        </w:rPr>
        <w:t xml:space="preserve">preading out the </w:t>
      </w:r>
      <w:r>
        <w:rPr>
          <w:b/>
          <w:bCs/>
        </w:rPr>
        <w:t>Coverage Enhancement</w:t>
      </w:r>
      <w:r w:rsidRPr="00391E39">
        <w:rPr>
          <w:b/>
          <w:bCs/>
        </w:rPr>
        <w:t xml:space="preserve"> repetitions in time can lead to a substantial reduction in the number of required repetitions – even in the presence of frequency hopping.</w:t>
      </w:r>
    </w:p>
    <w:p w:rsidR="00E14328" w:rsidRDefault="00E14328" w:rsidP="005C76EF">
      <w:pPr>
        <w:pStyle w:val="NoSpacing"/>
      </w:pPr>
    </w:p>
    <w:p w:rsidR="00E14328" w:rsidRDefault="00E14328" w:rsidP="005C76EF">
      <w:pPr>
        <w:pStyle w:val="NoSpacing"/>
      </w:pPr>
    </w:p>
    <w:p w:rsidR="00CE4C4B" w:rsidRDefault="00CE4C4B" w:rsidP="002A057C">
      <w:pPr>
        <w:pStyle w:val="Caption"/>
      </w:pPr>
      <w:r>
        <w:t xml:space="preserve">Table </w:t>
      </w:r>
      <w:r w:rsidR="000B1136">
        <w:fldChar w:fldCharType="begin"/>
      </w:r>
      <w:r w:rsidR="000B1136">
        <w:instrText xml:space="preserve"> SEQ Table \* ARABIC </w:instrText>
      </w:r>
      <w:r w:rsidR="000B1136">
        <w:fldChar w:fldCharType="separate"/>
      </w:r>
      <w:r>
        <w:rPr>
          <w:noProof/>
        </w:rPr>
        <w:t>1</w:t>
      </w:r>
      <w:r w:rsidR="000B1136">
        <w:rPr>
          <w:noProof/>
        </w:rPr>
        <w:fldChar w:fldCharType="end"/>
      </w:r>
      <w:r>
        <w:t xml:space="preserve">: Effect of Discontinuous Transmission: Number of repetitions to achieve 10% BLER for PDSCH at SNR = -14.3 dB for an EPA 1 Hz channel with 100 Hz frequency error, and TBS=504 bits (MCS 5), 1 Rx antenna, and 2-subframe channel estimation. Results are shown for different transmission periods with </w:t>
      </w:r>
      <w:r w:rsidR="002A057C">
        <w:t>FH</w:t>
      </w:r>
      <w:r>
        <w:t xml:space="preserve"> over system bandwidths of 5 &amp; 10 MHz, and with FH disabled. </w:t>
      </w:r>
    </w:p>
    <w:tbl>
      <w:tblPr>
        <w:tblStyle w:val="TableGrid"/>
        <w:tblW w:w="0" w:type="auto"/>
        <w:tblLook w:val="04A0" w:firstRow="1" w:lastRow="0" w:firstColumn="1" w:lastColumn="0" w:noHBand="0" w:noVBand="1"/>
      </w:tblPr>
      <w:tblGrid>
        <w:gridCol w:w="1433"/>
        <w:gridCol w:w="1139"/>
        <w:gridCol w:w="1333"/>
        <w:gridCol w:w="1400"/>
        <w:gridCol w:w="1400"/>
      </w:tblGrid>
      <w:tr w:rsidR="00CE4C4B" w:rsidTr="00CE4C4B">
        <w:tc>
          <w:tcPr>
            <w:tcW w:w="1433" w:type="dxa"/>
          </w:tcPr>
          <w:p w:rsidR="00CE4C4B" w:rsidRDefault="00CE4C4B" w:rsidP="00F92A23">
            <w:pPr>
              <w:pStyle w:val="NoSpacing"/>
            </w:pPr>
            <w:proofErr w:type="spellStart"/>
            <w:r>
              <w:t>Tx</w:t>
            </w:r>
            <w:proofErr w:type="spellEnd"/>
            <w:r>
              <w:t xml:space="preserve"> Period</w:t>
            </w:r>
          </w:p>
        </w:tc>
        <w:tc>
          <w:tcPr>
            <w:tcW w:w="1139"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1 </w:t>
            </w:r>
            <w:proofErr w:type="spellStart"/>
            <w:r>
              <w:t>ms</w:t>
            </w:r>
            <w:proofErr w:type="spellEnd"/>
          </w:p>
        </w:tc>
        <w:tc>
          <w:tcPr>
            <w:tcW w:w="1333"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4 </w:t>
            </w:r>
            <w:proofErr w:type="spellStart"/>
            <w:r>
              <w:t>ms</w:t>
            </w:r>
            <w:proofErr w:type="spellEnd"/>
          </w:p>
        </w:tc>
        <w:tc>
          <w:tcPr>
            <w:tcW w:w="1400"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10 </w:t>
            </w:r>
            <w:proofErr w:type="spellStart"/>
            <w:r>
              <w:t>ms</w:t>
            </w:r>
            <w:proofErr w:type="spellEnd"/>
          </w:p>
        </w:tc>
        <w:tc>
          <w:tcPr>
            <w:tcW w:w="1400"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20 </w:t>
            </w:r>
            <w:proofErr w:type="spellStart"/>
            <w:r>
              <w:t>ms</w:t>
            </w:r>
            <w:proofErr w:type="spellEnd"/>
          </w:p>
        </w:tc>
      </w:tr>
      <w:tr w:rsidR="00CE4C4B" w:rsidTr="00CE4C4B">
        <w:tc>
          <w:tcPr>
            <w:tcW w:w="1433" w:type="dxa"/>
          </w:tcPr>
          <w:p w:rsidR="00CE4C4B" w:rsidRDefault="00CE4C4B" w:rsidP="00CE4C4B">
            <w:pPr>
              <w:pStyle w:val="NoSpacing"/>
            </w:pPr>
            <w:r>
              <w:t>FH –  OFF</w:t>
            </w:r>
          </w:p>
        </w:tc>
        <w:tc>
          <w:tcPr>
            <w:tcW w:w="1139" w:type="dxa"/>
          </w:tcPr>
          <w:p w:rsidR="00CE4C4B" w:rsidRDefault="00CE4C4B" w:rsidP="00F92A23">
            <w:pPr>
              <w:pStyle w:val="NoSpacing"/>
            </w:pPr>
            <w:r>
              <w:t>311</w:t>
            </w:r>
          </w:p>
        </w:tc>
        <w:tc>
          <w:tcPr>
            <w:tcW w:w="1333" w:type="dxa"/>
          </w:tcPr>
          <w:p w:rsidR="00CE4C4B" w:rsidRDefault="00CE4C4B" w:rsidP="00F92A23">
            <w:pPr>
              <w:pStyle w:val="NoSpacing"/>
            </w:pPr>
            <w:r>
              <w:t>214</w:t>
            </w:r>
          </w:p>
        </w:tc>
        <w:tc>
          <w:tcPr>
            <w:tcW w:w="1400" w:type="dxa"/>
          </w:tcPr>
          <w:p w:rsidR="00CE4C4B" w:rsidRDefault="00CE4C4B" w:rsidP="00F92A23">
            <w:pPr>
              <w:pStyle w:val="NoSpacing"/>
            </w:pPr>
            <w:r>
              <w:t>154</w:t>
            </w:r>
          </w:p>
        </w:tc>
        <w:tc>
          <w:tcPr>
            <w:tcW w:w="1400" w:type="dxa"/>
          </w:tcPr>
          <w:p w:rsidR="00CE4C4B" w:rsidRDefault="00CE4C4B" w:rsidP="00F92A23">
            <w:pPr>
              <w:pStyle w:val="NoSpacing"/>
            </w:pPr>
            <w:r>
              <w:t>123</w:t>
            </w:r>
          </w:p>
        </w:tc>
      </w:tr>
      <w:tr w:rsidR="00CE4C4B" w:rsidTr="00CE4C4B">
        <w:tc>
          <w:tcPr>
            <w:tcW w:w="1433" w:type="dxa"/>
          </w:tcPr>
          <w:p w:rsidR="00CE4C4B" w:rsidRDefault="00CE4C4B" w:rsidP="00F92A23">
            <w:pPr>
              <w:pStyle w:val="NoSpacing"/>
            </w:pPr>
            <w:r>
              <w:t>FH – 5 MHz</w:t>
            </w:r>
          </w:p>
        </w:tc>
        <w:tc>
          <w:tcPr>
            <w:tcW w:w="1139" w:type="dxa"/>
          </w:tcPr>
          <w:p w:rsidR="00CE4C4B" w:rsidRDefault="00CE4C4B" w:rsidP="00CE4C4B">
            <w:pPr>
              <w:pStyle w:val="NoSpacing"/>
              <w:tabs>
                <w:tab w:val="left" w:pos="739"/>
              </w:tabs>
            </w:pPr>
            <w:r>
              <w:t>275</w:t>
            </w:r>
          </w:p>
        </w:tc>
        <w:tc>
          <w:tcPr>
            <w:tcW w:w="1333" w:type="dxa"/>
          </w:tcPr>
          <w:p w:rsidR="00CE4C4B" w:rsidRDefault="00CE4C4B" w:rsidP="00F92A23">
            <w:pPr>
              <w:pStyle w:val="NoSpacing"/>
            </w:pPr>
            <w:r>
              <w:t>202</w:t>
            </w:r>
          </w:p>
        </w:tc>
        <w:tc>
          <w:tcPr>
            <w:tcW w:w="1400" w:type="dxa"/>
          </w:tcPr>
          <w:p w:rsidR="00CE4C4B" w:rsidRDefault="00CE4C4B" w:rsidP="00F92A23">
            <w:pPr>
              <w:pStyle w:val="NoSpacing"/>
            </w:pPr>
            <w:r>
              <w:t>149</w:t>
            </w:r>
          </w:p>
        </w:tc>
        <w:tc>
          <w:tcPr>
            <w:tcW w:w="1400" w:type="dxa"/>
          </w:tcPr>
          <w:p w:rsidR="00CE4C4B" w:rsidRDefault="00CE4C4B" w:rsidP="00F92A23">
            <w:pPr>
              <w:pStyle w:val="NoSpacing"/>
            </w:pPr>
            <w:r>
              <w:t>120</w:t>
            </w:r>
          </w:p>
        </w:tc>
      </w:tr>
      <w:tr w:rsidR="00CE4C4B" w:rsidTr="00CE4C4B">
        <w:tc>
          <w:tcPr>
            <w:tcW w:w="1433" w:type="dxa"/>
          </w:tcPr>
          <w:p w:rsidR="00CE4C4B" w:rsidRDefault="00CE4C4B" w:rsidP="00CE4C4B">
            <w:pPr>
              <w:pStyle w:val="NoSpacing"/>
            </w:pPr>
            <w:r>
              <w:t>FH – 10 MHz</w:t>
            </w:r>
          </w:p>
        </w:tc>
        <w:tc>
          <w:tcPr>
            <w:tcW w:w="1139" w:type="dxa"/>
          </w:tcPr>
          <w:p w:rsidR="00CE4C4B" w:rsidRDefault="00CE4C4B" w:rsidP="00F92A23">
            <w:pPr>
              <w:pStyle w:val="NoSpacing"/>
              <w:tabs>
                <w:tab w:val="left" w:pos="739"/>
              </w:tabs>
            </w:pPr>
            <w:r>
              <w:t>207</w:t>
            </w:r>
            <w:r>
              <w:tab/>
            </w:r>
          </w:p>
        </w:tc>
        <w:tc>
          <w:tcPr>
            <w:tcW w:w="1333" w:type="dxa"/>
          </w:tcPr>
          <w:p w:rsidR="00CE4C4B" w:rsidRDefault="00CE4C4B" w:rsidP="00F92A23">
            <w:pPr>
              <w:pStyle w:val="NoSpacing"/>
            </w:pPr>
            <w:r>
              <w:t>166</w:t>
            </w:r>
          </w:p>
        </w:tc>
        <w:tc>
          <w:tcPr>
            <w:tcW w:w="1400" w:type="dxa"/>
          </w:tcPr>
          <w:p w:rsidR="00CE4C4B" w:rsidRDefault="00CE4C4B" w:rsidP="00F92A23">
            <w:pPr>
              <w:pStyle w:val="NoSpacing"/>
            </w:pPr>
            <w:r>
              <w:t>129</w:t>
            </w:r>
          </w:p>
        </w:tc>
        <w:tc>
          <w:tcPr>
            <w:tcW w:w="1400" w:type="dxa"/>
          </w:tcPr>
          <w:p w:rsidR="00CE4C4B" w:rsidRDefault="00CE4C4B" w:rsidP="00F92A23">
            <w:pPr>
              <w:pStyle w:val="NoSpacing"/>
            </w:pPr>
            <w:r>
              <w:t>109</w:t>
            </w:r>
          </w:p>
        </w:tc>
      </w:tr>
    </w:tbl>
    <w:p w:rsidR="00CE4C4B" w:rsidRDefault="00CE4C4B" w:rsidP="005C76EF">
      <w:pPr>
        <w:pStyle w:val="NoSpacing"/>
      </w:pPr>
    </w:p>
    <w:p w:rsidR="00CE4C4B" w:rsidRDefault="00CE4C4B" w:rsidP="005C76EF">
      <w:pPr>
        <w:pStyle w:val="NoSpacing"/>
      </w:pPr>
    </w:p>
    <w:p w:rsidR="00CE4C4B" w:rsidRDefault="00CE4C4B" w:rsidP="00826ECB">
      <w:pPr>
        <w:pStyle w:val="Caption"/>
      </w:pPr>
      <w:r>
        <w:t xml:space="preserve">Table </w:t>
      </w:r>
      <w:r w:rsidR="000B1136">
        <w:fldChar w:fldCharType="begin"/>
      </w:r>
      <w:r w:rsidR="000B1136">
        <w:instrText xml:space="preserve"> SEQ Table \* ARABIC </w:instrText>
      </w:r>
      <w:r w:rsidR="000B1136">
        <w:fldChar w:fldCharType="separate"/>
      </w:r>
      <w:r>
        <w:rPr>
          <w:noProof/>
        </w:rPr>
        <w:t>2</w:t>
      </w:r>
      <w:r w:rsidR="000B1136">
        <w:rPr>
          <w:noProof/>
        </w:rPr>
        <w:fldChar w:fldCharType="end"/>
      </w:r>
      <w:r>
        <w:t xml:space="preserve">: Effect of Discontinuous Transmission: SNR </w:t>
      </w:r>
      <w:r w:rsidR="00F44246">
        <w:t>(in dB) required</w:t>
      </w:r>
      <w:r>
        <w:t xml:space="preserve"> to achieve 10% BLER for PDSCH with 100 </w:t>
      </w:r>
      <w:r w:rsidR="00826ECB">
        <w:t>repetitions</w:t>
      </w:r>
      <w:r>
        <w:t xml:space="preserve"> for an EPA 1 Hz channel with 100 Hz frequency error, and TBS=504 bits (MCS 5), 1 Rx antenna, and 2-subframe channel estimation. Results are shown for different transmission periods with </w:t>
      </w:r>
      <w:r w:rsidR="002A057C">
        <w:t>FH</w:t>
      </w:r>
      <w:r>
        <w:t xml:space="preserve"> over system bandwidths of 5 &amp; 10 MHz, and with FH disabled. </w:t>
      </w:r>
    </w:p>
    <w:tbl>
      <w:tblPr>
        <w:tblStyle w:val="TableGrid"/>
        <w:tblW w:w="0" w:type="auto"/>
        <w:tblLook w:val="04A0" w:firstRow="1" w:lastRow="0" w:firstColumn="1" w:lastColumn="0" w:noHBand="0" w:noVBand="1"/>
      </w:tblPr>
      <w:tblGrid>
        <w:gridCol w:w="1433"/>
        <w:gridCol w:w="1139"/>
        <w:gridCol w:w="1333"/>
        <w:gridCol w:w="1400"/>
        <w:gridCol w:w="1400"/>
      </w:tblGrid>
      <w:tr w:rsidR="00CE4C4B" w:rsidTr="00F92A23">
        <w:tc>
          <w:tcPr>
            <w:tcW w:w="1433" w:type="dxa"/>
          </w:tcPr>
          <w:p w:rsidR="00CE4C4B" w:rsidRDefault="00CE4C4B" w:rsidP="00F92A23">
            <w:pPr>
              <w:pStyle w:val="NoSpacing"/>
            </w:pPr>
            <w:proofErr w:type="spellStart"/>
            <w:r>
              <w:t>Tx</w:t>
            </w:r>
            <w:proofErr w:type="spellEnd"/>
            <w:r>
              <w:t xml:space="preserve"> Period</w:t>
            </w:r>
          </w:p>
        </w:tc>
        <w:tc>
          <w:tcPr>
            <w:tcW w:w="1139"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1 </w:t>
            </w:r>
            <w:proofErr w:type="spellStart"/>
            <w:r>
              <w:t>ms</w:t>
            </w:r>
            <w:proofErr w:type="spellEnd"/>
          </w:p>
        </w:tc>
        <w:tc>
          <w:tcPr>
            <w:tcW w:w="1333"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4 </w:t>
            </w:r>
            <w:proofErr w:type="spellStart"/>
            <w:r>
              <w:t>ms</w:t>
            </w:r>
            <w:proofErr w:type="spellEnd"/>
          </w:p>
        </w:tc>
        <w:tc>
          <w:tcPr>
            <w:tcW w:w="1400"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10 </w:t>
            </w:r>
            <w:proofErr w:type="spellStart"/>
            <w:r>
              <w:t>ms</w:t>
            </w:r>
            <w:proofErr w:type="spellEnd"/>
          </w:p>
        </w:tc>
        <w:tc>
          <w:tcPr>
            <w:tcW w:w="1400" w:type="dxa"/>
          </w:tcPr>
          <w:p w:rsidR="00CE4C4B" w:rsidRDefault="00CE4C4B" w:rsidP="00F92A23">
            <w:pPr>
              <w:pStyle w:val="NoSpacing"/>
            </w:pPr>
            <w:proofErr w:type="spellStart"/>
            <w:r>
              <w:t>Tx</w:t>
            </w:r>
            <w:proofErr w:type="spellEnd"/>
            <w:r>
              <w:t xml:space="preserve"> Period</w:t>
            </w:r>
          </w:p>
          <w:p w:rsidR="00CE4C4B" w:rsidRDefault="00CE4C4B" w:rsidP="00F92A23">
            <w:pPr>
              <w:pStyle w:val="NoSpacing"/>
            </w:pPr>
            <w:r>
              <w:t xml:space="preserve">20 </w:t>
            </w:r>
            <w:proofErr w:type="spellStart"/>
            <w:r>
              <w:t>ms</w:t>
            </w:r>
            <w:proofErr w:type="spellEnd"/>
          </w:p>
        </w:tc>
      </w:tr>
      <w:tr w:rsidR="00CE4C4B" w:rsidTr="00F92A23">
        <w:tc>
          <w:tcPr>
            <w:tcW w:w="1433" w:type="dxa"/>
          </w:tcPr>
          <w:p w:rsidR="00CE4C4B" w:rsidRDefault="00CE4C4B" w:rsidP="00F92A23">
            <w:pPr>
              <w:pStyle w:val="NoSpacing"/>
            </w:pPr>
            <w:r>
              <w:t>FH –  OFF</w:t>
            </w:r>
          </w:p>
        </w:tc>
        <w:tc>
          <w:tcPr>
            <w:tcW w:w="1139" w:type="dxa"/>
          </w:tcPr>
          <w:p w:rsidR="00CE4C4B" w:rsidRDefault="00D94CAB" w:rsidP="00F92A23">
            <w:pPr>
              <w:pStyle w:val="NoSpacing"/>
            </w:pPr>
            <w:r>
              <w:t>-10.8</w:t>
            </w:r>
          </w:p>
        </w:tc>
        <w:tc>
          <w:tcPr>
            <w:tcW w:w="1333" w:type="dxa"/>
          </w:tcPr>
          <w:p w:rsidR="00CE4C4B" w:rsidRDefault="00D94CAB" w:rsidP="00F92A23">
            <w:pPr>
              <w:pStyle w:val="NoSpacing"/>
            </w:pPr>
            <w:r>
              <w:t>-11.4</w:t>
            </w:r>
          </w:p>
        </w:tc>
        <w:tc>
          <w:tcPr>
            <w:tcW w:w="1400" w:type="dxa"/>
          </w:tcPr>
          <w:p w:rsidR="00CE4C4B" w:rsidRDefault="00D94CAB" w:rsidP="00F92A23">
            <w:pPr>
              <w:pStyle w:val="NoSpacing"/>
            </w:pPr>
            <w:r>
              <w:t>-12.6</w:t>
            </w:r>
          </w:p>
        </w:tc>
        <w:tc>
          <w:tcPr>
            <w:tcW w:w="1400" w:type="dxa"/>
          </w:tcPr>
          <w:p w:rsidR="00CE4C4B" w:rsidRDefault="00D94CAB" w:rsidP="00F92A23">
            <w:pPr>
              <w:pStyle w:val="NoSpacing"/>
            </w:pPr>
            <w:r>
              <w:t>-13.6</w:t>
            </w:r>
          </w:p>
        </w:tc>
      </w:tr>
      <w:tr w:rsidR="00CE4C4B" w:rsidTr="00F92A23">
        <w:tc>
          <w:tcPr>
            <w:tcW w:w="1433" w:type="dxa"/>
          </w:tcPr>
          <w:p w:rsidR="00CE4C4B" w:rsidRDefault="00CE4C4B" w:rsidP="00F92A23">
            <w:pPr>
              <w:pStyle w:val="NoSpacing"/>
            </w:pPr>
            <w:r>
              <w:t>FH – 5 MHz</w:t>
            </w:r>
          </w:p>
        </w:tc>
        <w:tc>
          <w:tcPr>
            <w:tcW w:w="1139" w:type="dxa"/>
          </w:tcPr>
          <w:p w:rsidR="00CE4C4B" w:rsidRDefault="00D94CAB" w:rsidP="00F92A23">
            <w:pPr>
              <w:pStyle w:val="NoSpacing"/>
              <w:tabs>
                <w:tab w:val="left" w:pos="739"/>
              </w:tabs>
            </w:pPr>
            <w:r>
              <w:t>-11.3</w:t>
            </w:r>
          </w:p>
        </w:tc>
        <w:tc>
          <w:tcPr>
            <w:tcW w:w="1333" w:type="dxa"/>
          </w:tcPr>
          <w:p w:rsidR="00CE4C4B" w:rsidRDefault="00D94CAB" w:rsidP="00F92A23">
            <w:pPr>
              <w:pStyle w:val="NoSpacing"/>
            </w:pPr>
            <w:r>
              <w:t>-11.9</w:t>
            </w:r>
          </w:p>
        </w:tc>
        <w:tc>
          <w:tcPr>
            <w:tcW w:w="1400" w:type="dxa"/>
          </w:tcPr>
          <w:p w:rsidR="00CE4C4B" w:rsidRDefault="00D94CAB" w:rsidP="00F92A23">
            <w:pPr>
              <w:pStyle w:val="NoSpacing"/>
            </w:pPr>
            <w:r>
              <w:t>-13.0</w:t>
            </w:r>
          </w:p>
        </w:tc>
        <w:tc>
          <w:tcPr>
            <w:tcW w:w="1400" w:type="dxa"/>
          </w:tcPr>
          <w:p w:rsidR="00CE4C4B" w:rsidRDefault="00D94CAB" w:rsidP="00F92A23">
            <w:pPr>
              <w:pStyle w:val="NoSpacing"/>
            </w:pPr>
            <w:r>
              <w:t>-13.7</w:t>
            </w:r>
          </w:p>
        </w:tc>
      </w:tr>
      <w:tr w:rsidR="00D94CAB" w:rsidTr="00F92A23">
        <w:tc>
          <w:tcPr>
            <w:tcW w:w="1433" w:type="dxa"/>
          </w:tcPr>
          <w:p w:rsidR="00D94CAB" w:rsidRDefault="00D94CAB" w:rsidP="00F92A23">
            <w:pPr>
              <w:pStyle w:val="NoSpacing"/>
            </w:pPr>
            <w:r>
              <w:t>FH – 10 MHz</w:t>
            </w:r>
          </w:p>
        </w:tc>
        <w:tc>
          <w:tcPr>
            <w:tcW w:w="1139" w:type="dxa"/>
          </w:tcPr>
          <w:p w:rsidR="00D94CAB" w:rsidRDefault="00D94CAB" w:rsidP="00F92A23">
            <w:pPr>
              <w:pStyle w:val="NoSpacing"/>
            </w:pPr>
            <w:r>
              <w:t>-12.4</w:t>
            </w:r>
          </w:p>
        </w:tc>
        <w:tc>
          <w:tcPr>
            <w:tcW w:w="1333" w:type="dxa"/>
          </w:tcPr>
          <w:p w:rsidR="00D94CAB" w:rsidRDefault="00D94CAB" w:rsidP="00F92A23">
            <w:pPr>
              <w:pStyle w:val="NoSpacing"/>
            </w:pPr>
            <w:r>
              <w:t>-12.6</w:t>
            </w:r>
          </w:p>
        </w:tc>
        <w:tc>
          <w:tcPr>
            <w:tcW w:w="1400" w:type="dxa"/>
          </w:tcPr>
          <w:p w:rsidR="00D94CAB" w:rsidRDefault="00D94CAB" w:rsidP="00F92A23">
            <w:pPr>
              <w:pStyle w:val="NoSpacing"/>
            </w:pPr>
            <w:r>
              <w:t>-13.4</w:t>
            </w:r>
          </w:p>
        </w:tc>
        <w:tc>
          <w:tcPr>
            <w:tcW w:w="1400" w:type="dxa"/>
          </w:tcPr>
          <w:p w:rsidR="00D94CAB" w:rsidRDefault="00D94CAB" w:rsidP="00F92A23">
            <w:pPr>
              <w:pStyle w:val="NoSpacing"/>
            </w:pPr>
            <w:r>
              <w:t>-14.1</w:t>
            </w:r>
          </w:p>
        </w:tc>
      </w:tr>
    </w:tbl>
    <w:p w:rsidR="00604E79" w:rsidRDefault="00604E79" w:rsidP="00604E79">
      <w:pPr>
        <w:pStyle w:val="Heading1"/>
        <w:numPr>
          <w:ilvl w:val="0"/>
          <w:numId w:val="1"/>
        </w:numPr>
        <w:rPr>
          <w:color w:val="auto"/>
        </w:rPr>
      </w:pPr>
      <w:r>
        <w:rPr>
          <w:color w:val="auto"/>
        </w:rPr>
        <w:lastRenderedPageBreak/>
        <w:t>Complexity Considerations</w:t>
      </w:r>
    </w:p>
    <w:p w:rsidR="00604E79" w:rsidRDefault="00685E27" w:rsidP="002E0935">
      <w:r>
        <w:t>Another important consideration i</w:t>
      </w:r>
      <w:r w:rsidR="00604E79">
        <w:t xml:space="preserve">n determining the number of HARQ processes to support is implementation complexity – reducing the number of processes reduces the size of the buffers for the </w:t>
      </w:r>
      <w:r w:rsidR="002E0935">
        <w:t xml:space="preserve">PDSCH </w:t>
      </w:r>
      <w:r w:rsidR="00604E79">
        <w:t xml:space="preserve">soft channel bits. However, reducing the number of processes to support in Coverage Enhancement below the number of processes required for Normal Coverage operation will not result in </w:t>
      </w:r>
      <w:r w:rsidR="002E0935">
        <w:t>reduced PDSCH soft bits buffer size</w:t>
      </w:r>
      <w:r w:rsidR="00604E79">
        <w:t xml:space="preserve">, since the </w:t>
      </w:r>
      <w:r w:rsidR="00826ECB">
        <w:t>device</w:t>
      </w:r>
      <w:r w:rsidR="00604E79">
        <w:t xml:space="preserve"> buffers must support Normal Coverage operation anyway. </w:t>
      </w:r>
    </w:p>
    <w:p w:rsidR="00BF2DE6" w:rsidRPr="00177E14" w:rsidRDefault="00BF2DE6" w:rsidP="00BF2DE6">
      <w:pPr>
        <w:spacing w:after="200" w:line="276" w:lineRule="auto"/>
        <w:rPr>
          <w:b/>
          <w:bCs/>
        </w:rPr>
      </w:pPr>
      <w:r>
        <w:rPr>
          <w:b/>
          <w:bCs/>
        </w:rPr>
        <w:t>Observation 6</w:t>
      </w:r>
      <w:r w:rsidRPr="00177E14">
        <w:rPr>
          <w:b/>
          <w:bCs/>
        </w:rPr>
        <w:t xml:space="preserve">: Reducing the number of HARQ processes to support in Enhanced Coverage below the number supported in Normal Coverage does not reduce </w:t>
      </w:r>
      <w:r>
        <w:rPr>
          <w:b/>
          <w:bCs/>
        </w:rPr>
        <w:t>PDSCH buffer requirements</w:t>
      </w:r>
      <w:r w:rsidRPr="00177E14">
        <w:rPr>
          <w:b/>
          <w:bCs/>
        </w:rPr>
        <w:t>.</w:t>
      </w:r>
    </w:p>
    <w:p w:rsidR="00BF2DE6" w:rsidRDefault="00BF2DE6" w:rsidP="00BF2DE6"/>
    <w:p w:rsidR="002E0935" w:rsidRDefault="00BF2DE6" w:rsidP="00BF2DE6">
      <w:r>
        <w:t xml:space="preserve">Reducing the number of HARQ processes for Coverage Enhancement may still reduce overall complexity if we consider the total soft bits buffer resources required for PDSCH and MPDCCH together. The repetitions for the MPDCCH require additional soft bits buffering over all the candidates in Coverage Enhancement. This can be offset by reducing by 1 or 2 the total </w:t>
      </w:r>
      <w:r w:rsidR="00270690">
        <w:t xml:space="preserve">number of </w:t>
      </w:r>
      <w:r>
        <w:t>HARQ processes in Coverage Enhancement relative to Normal Coverage.</w:t>
      </w:r>
    </w:p>
    <w:p w:rsidR="00177E14" w:rsidRPr="00177E14" w:rsidRDefault="00177E14" w:rsidP="00BF2DE6">
      <w:pPr>
        <w:spacing w:after="200" w:line="276" w:lineRule="auto"/>
        <w:rPr>
          <w:b/>
          <w:bCs/>
        </w:rPr>
      </w:pPr>
      <w:r w:rsidRPr="00177E14">
        <w:rPr>
          <w:b/>
          <w:bCs/>
        </w:rPr>
        <w:t xml:space="preserve">Proposal </w:t>
      </w:r>
      <w:r w:rsidR="00023B02">
        <w:rPr>
          <w:b/>
          <w:bCs/>
        </w:rPr>
        <w:t>1</w:t>
      </w:r>
      <w:r w:rsidRPr="00177E14">
        <w:rPr>
          <w:b/>
          <w:bCs/>
        </w:rPr>
        <w:t xml:space="preserve">: Based on considerations of complexity and time diversity (to improve spectral efficiency and power consumption), multiple HARQ processes should be supported in Coverage Enhancement. The number of processes should be </w:t>
      </w:r>
      <w:r w:rsidR="00BF2DE6">
        <w:rPr>
          <w:b/>
          <w:bCs/>
        </w:rPr>
        <w:t>one or two less than</w:t>
      </w:r>
      <w:r w:rsidRPr="00177E14">
        <w:rPr>
          <w:b/>
          <w:bCs/>
        </w:rPr>
        <w:t xml:space="preserve"> the supported number of processes in Normal Coverage. </w:t>
      </w:r>
    </w:p>
    <w:p w:rsidR="00177E14" w:rsidRDefault="00177E14" w:rsidP="00177E14">
      <w:pPr>
        <w:spacing w:after="200" w:line="276" w:lineRule="auto"/>
      </w:pPr>
    </w:p>
    <w:p w:rsidR="00C352BF" w:rsidRDefault="00023B02" w:rsidP="00BF2DE6">
      <w:pPr>
        <w:spacing w:after="200" w:line="276" w:lineRule="auto"/>
      </w:pPr>
      <w:r>
        <w:t>An</w:t>
      </w:r>
      <w:r w:rsidR="00177E14">
        <w:t xml:space="preserve"> open issue is whether </w:t>
      </w:r>
      <w:r w:rsidR="00C352BF">
        <w:t>to</w:t>
      </w:r>
      <w:r w:rsidR="00177E14">
        <w:t xml:space="preserve"> also exploit time diversity </w:t>
      </w:r>
      <w:r w:rsidR="00C352BF">
        <w:t>by interleaving</w:t>
      </w:r>
      <w:r w:rsidR="00177E14">
        <w:t xml:space="preserve"> MPDCCH repetitions. In this case, this would increase the size of the MPDCCH candidates’ </w:t>
      </w:r>
      <w:r w:rsidR="00270690">
        <w:t xml:space="preserve">soft bits </w:t>
      </w:r>
      <w:r w:rsidR="00177E14">
        <w:t xml:space="preserve">buffer.  </w:t>
      </w:r>
      <w:r w:rsidR="00C352BF">
        <w:t xml:space="preserve">In order to avoid any cost increase, </w:t>
      </w:r>
      <w:r w:rsidR="00BF2DE6">
        <w:t xml:space="preserve">one option is for </w:t>
      </w:r>
      <w:r w:rsidR="00C352BF">
        <w:t xml:space="preserve">the number of supported HARQ processes in Coverage Enhancement </w:t>
      </w:r>
      <w:r w:rsidR="00BF2DE6">
        <w:t xml:space="preserve">to </w:t>
      </w:r>
      <w:r w:rsidR="00C352BF">
        <w:t xml:space="preserve">be reduced </w:t>
      </w:r>
      <w:r w:rsidR="00BF2DE6">
        <w:t>further</w:t>
      </w:r>
      <w:r w:rsidR="00C352BF">
        <w:t xml:space="preserve"> relative to the number supported in Normal Coverage so that the overall total soft channel bit buffer </w:t>
      </w:r>
      <w:r w:rsidR="00BF2DE6">
        <w:t xml:space="preserve">resources do </w:t>
      </w:r>
      <w:r w:rsidR="00C352BF">
        <w:t>not increase.</w:t>
      </w:r>
    </w:p>
    <w:p w:rsidR="00C66530" w:rsidRDefault="00C352BF" w:rsidP="00BF2DE6">
      <w:pPr>
        <w:spacing w:after="200" w:line="276" w:lineRule="auto"/>
        <w:rPr>
          <w:b/>
          <w:bCs/>
        </w:rPr>
      </w:pPr>
      <w:r w:rsidRPr="00C352BF">
        <w:rPr>
          <w:b/>
          <w:bCs/>
        </w:rPr>
        <w:t xml:space="preserve">Proposal </w:t>
      </w:r>
      <w:r w:rsidR="00023B02">
        <w:rPr>
          <w:b/>
          <w:bCs/>
        </w:rPr>
        <w:t>2</w:t>
      </w:r>
      <w:r w:rsidRPr="00C352BF">
        <w:rPr>
          <w:b/>
          <w:bCs/>
        </w:rPr>
        <w:t xml:space="preserve">: Interleaving of MPDCCH repetitions are FFS. </w:t>
      </w:r>
      <w:r w:rsidR="00BF2DE6">
        <w:rPr>
          <w:b/>
          <w:bCs/>
        </w:rPr>
        <w:t>The impact to the required overall soft channel bits buffer resources needs to be considered.</w:t>
      </w:r>
      <w:r w:rsidRPr="00C352BF">
        <w:rPr>
          <w:b/>
          <w:bCs/>
        </w:rPr>
        <w:t xml:space="preserve"> </w:t>
      </w:r>
    </w:p>
    <w:p w:rsidR="00826ECB" w:rsidRPr="00C352BF" w:rsidRDefault="00826ECB" w:rsidP="00023B02">
      <w:pPr>
        <w:spacing w:after="200" w:line="276" w:lineRule="auto"/>
        <w:rPr>
          <w:b/>
          <w:bCs/>
        </w:rPr>
      </w:pPr>
    </w:p>
    <w:p w:rsidR="00F6274C" w:rsidRDefault="00F6274C" w:rsidP="00F6274C">
      <w:pPr>
        <w:pStyle w:val="Heading1"/>
        <w:numPr>
          <w:ilvl w:val="0"/>
          <w:numId w:val="1"/>
        </w:numPr>
        <w:rPr>
          <w:color w:val="auto"/>
        </w:rPr>
      </w:pPr>
      <w:r>
        <w:rPr>
          <w:color w:val="auto"/>
        </w:rPr>
        <w:t>Conclusion</w:t>
      </w:r>
    </w:p>
    <w:p w:rsidR="009C0795" w:rsidRDefault="005F06B0" w:rsidP="009D1EBE">
      <w:pPr>
        <w:spacing w:after="200" w:line="276" w:lineRule="auto"/>
      </w:pPr>
      <w:r>
        <w:t>I</w:t>
      </w:r>
      <w:r w:rsidR="003B6B69">
        <w:t>n this contribution we considered the number of HARQ processes that should be supported when in Coverage Enhancement. The following obser</w:t>
      </w:r>
      <w:r w:rsidR="009D1EBE">
        <w:t>vations and proposals were made. Note that although the contribution focused on the downlink (including the performance simulations) the findings should be true for the uplink as well.</w:t>
      </w:r>
    </w:p>
    <w:p w:rsidR="00826ECB" w:rsidRPr="00285707" w:rsidRDefault="00826ECB" w:rsidP="00826ECB">
      <w:pPr>
        <w:rPr>
          <w:b/>
          <w:bCs/>
        </w:rPr>
      </w:pPr>
      <w:r w:rsidRPr="00285707">
        <w:rPr>
          <w:b/>
          <w:bCs/>
        </w:rPr>
        <w:t xml:space="preserve">Observation 1: Using multiple HARQ processes increases the network’s flexibility to exploit time diversity while </w:t>
      </w:r>
      <w:r>
        <w:rPr>
          <w:b/>
          <w:bCs/>
        </w:rPr>
        <w:t>mitigating</w:t>
      </w:r>
      <w:r w:rsidRPr="00285707">
        <w:rPr>
          <w:b/>
          <w:bCs/>
        </w:rPr>
        <w:t xml:space="preserve"> the throughput loss.</w:t>
      </w:r>
    </w:p>
    <w:p w:rsidR="00826ECB" w:rsidRPr="00285707" w:rsidRDefault="00826ECB" w:rsidP="00826ECB">
      <w:pPr>
        <w:rPr>
          <w:b/>
          <w:bCs/>
        </w:rPr>
      </w:pPr>
      <w:r w:rsidRPr="00285707">
        <w:rPr>
          <w:b/>
          <w:bCs/>
        </w:rPr>
        <w:t>Observation</w:t>
      </w:r>
      <w:r>
        <w:rPr>
          <w:b/>
          <w:bCs/>
        </w:rPr>
        <w:t xml:space="preserve"> 2</w:t>
      </w:r>
      <w:r w:rsidRPr="00285707">
        <w:rPr>
          <w:b/>
          <w:bCs/>
        </w:rPr>
        <w:t xml:space="preserve">: </w:t>
      </w:r>
      <w:r>
        <w:rPr>
          <w:b/>
          <w:bCs/>
        </w:rPr>
        <w:t>Support for multiplexing MPDCCH with an unassociated PDSCH in Coverage Enhancement increases scheduling flexibility – including the ability to efficiently utilize time diversity with multiple HARQ processes</w:t>
      </w:r>
      <w:r w:rsidRPr="00285707">
        <w:rPr>
          <w:b/>
          <w:bCs/>
        </w:rPr>
        <w:t>.</w:t>
      </w:r>
    </w:p>
    <w:p w:rsidR="00826ECB" w:rsidRPr="00285707" w:rsidRDefault="00826ECB" w:rsidP="00826ECB">
      <w:pPr>
        <w:rPr>
          <w:b/>
          <w:bCs/>
        </w:rPr>
      </w:pPr>
      <w:r w:rsidRPr="00285707">
        <w:rPr>
          <w:b/>
          <w:bCs/>
        </w:rPr>
        <w:t>Observation</w:t>
      </w:r>
      <w:r>
        <w:rPr>
          <w:b/>
          <w:bCs/>
        </w:rPr>
        <w:t xml:space="preserve"> 3</w:t>
      </w:r>
      <w:r w:rsidRPr="00285707">
        <w:rPr>
          <w:b/>
          <w:bCs/>
        </w:rPr>
        <w:t xml:space="preserve">: Using multiple HARQ processes increases the network’s flexibility to </w:t>
      </w:r>
      <w:r>
        <w:rPr>
          <w:b/>
          <w:bCs/>
        </w:rPr>
        <w:t>maximize</w:t>
      </w:r>
      <w:r w:rsidRPr="00285707">
        <w:rPr>
          <w:b/>
          <w:bCs/>
        </w:rPr>
        <w:t xml:space="preserve"> time diversity</w:t>
      </w:r>
      <w:r>
        <w:rPr>
          <w:b/>
          <w:bCs/>
        </w:rPr>
        <w:t xml:space="preserve"> for delay-insensitive transmissions while still meeting latency requirements for delay-sensitive transmissions</w:t>
      </w:r>
      <w:r w:rsidRPr="00285707">
        <w:rPr>
          <w:b/>
          <w:bCs/>
        </w:rPr>
        <w:t>.</w:t>
      </w:r>
    </w:p>
    <w:p w:rsidR="00826ECB" w:rsidRDefault="00826ECB" w:rsidP="00826ECB">
      <w:pPr>
        <w:rPr>
          <w:b/>
          <w:bCs/>
        </w:rPr>
      </w:pPr>
      <w:r>
        <w:rPr>
          <w:b/>
          <w:bCs/>
        </w:rPr>
        <w:t>Observation 4</w:t>
      </w:r>
      <w:r w:rsidRPr="00783FE3">
        <w:rPr>
          <w:b/>
          <w:bCs/>
        </w:rPr>
        <w:t xml:space="preserve">: Spreading out the repetitions in time can reduce the total number of required repetitions. Assuming the </w:t>
      </w:r>
      <w:r>
        <w:rPr>
          <w:b/>
          <w:bCs/>
        </w:rPr>
        <w:t>MTC device</w:t>
      </w:r>
      <w:r w:rsidRPr="00783FE3">
        <w:rPr>
          <w:b/>
          <w:bCs/>
        </w:rPr>
        <w:t xml:space="preserve"> sleeps between transmissions, this </w:t>
      </w:r>
      <w:r>
        <w:rPr>
          <w:b/>
          <w:bCs/>
        </w:rPr>
        <w:t>leads</w:t>
      </w:r>
      <w:r w:rsidRPr="00783FE3">
        <w:rPr>
          <w:b/>
          <w:bCs/>
        </w:rPr>
        <w:t xml:space="preserve"> to reduced power consumption.</w:t>
      </w:r>
    </w:p>
    <w:p w:rsidR="00826ECB" w:rsidRDefault="00826ECB" w:rsidP="00826ECB">
      <w:pPr>
        <w:pStyle w:val="NoSpacing"/>
        <w:rPr>
          <w:b/>
          <w:bCs/>
        </w:rPr>
      </w:pPr>
      <w:r>
        <w:rPr>
          <w:b/>
          <w:bCs/>
        </w:rPr>
        <w:t>Observation 5</w:t>
      </w:r>
      <w:r w:rsidRPr="00391E39">
        <w:rPr>
          <w:b/>
          <w:bCs/>
        </w:rPr>
        <w:t xml:space="preserve">: </w:t>
      </w:r>
      <w:r>
        <w:rPr>
          <w:b/>
          <w:bCs/>
        </w:rPr>
        <w:t>Simulation results illustrate that s</w:t>
      </w:r>
      <w:r w:rsidRPr="00391E39">
        <w:rPr>
          <w:b/>
          <w:bCs/>
        </w:rPr>
        <w:t xml:space="preserve">preading out the </w:t>
      </w:r>
      <w:r>
        <w:rPr>
          <w:b/>
          <w:bCs/>
        </w:rPr>
        <w:t>Coverage Enhancement</w:t>
      </w:r>
      <w:r w:rsidRPr="00391E39">
        <w:rPr>
          <w:b/>
          <w:bCs/>
        </w:rPr>
        <w:t xml:space="preserve"> repetitions in time can lead to a substantial reduction in the number of required repetitions – even in the presence of frequency hopping.</w:t>
      </w:r>
    </w:p>
    <w:p w:rsidR="00826ECB" w:rsidRDefault="00826ECB" w:rsidP="00826ECB">
      <w:pPr>
        <w:pStyle w:val="NoSpacing"/>
        <w:rPr>
          <w:b/>
          <w:bCs/>
        </w:rPr>
      </w:pPr>
    </w:p>
    <w:p w:rsidR="003F235A" w:rsidRPr="00177E14" w:rsidRDefault="003F235A" w:rsidP="003F235A">
      <w:pPr>
        <w:spacing w:after="200" w:line="276" w:lineRule="auto"/>
        <w:rPr>
          <w:b/>
          <w:bCs/>
        </w:rPr>
      </w:pPr>
      <w:r>
        <w:rPr>
          <w:b/>
          <w:bCs/>
        </w:rPr>
        <w:lastRenderedPageBreak/>
        <w:t>Observation 6</w:t>
      </w:r>
      <w:r w:rsidRPr="00177E14">
        <w:rPr>
          <w:b/>
          <w:bCs/>
        </w:rPr>
        <w:t xml:space="preserve">: Reducing the number of HARQ processes to support in Enhanced Coverage below the number supported in Normal Coverage does not reduce </w:t>
      </w:r>
      <w:r>
        <w:rPr>
          <w:b/>
          <w:bCs/>
        </w:rPr>
        <w:t>PDSCH buffer requirements</w:t>
      </w:r>
      <w:r w:rsidRPr="00177E14">
        <w:rPr>
          <w:b/>
          <w:bCs/>
        </w:rPr>
        <w:t>.</w:t>
      </w:r>
    </w:p>
    <w:p w:rsidR="00826ECB" w:rsidRDefault="00826ECB" w:rsidP="000C37F6">
      <w:pPr>
        <w:spacing w:after="200" w:line="276" w:lineRule="auto"/>
        <w:rPr>
          <w:b/>
          <w:bCs/>
        </w:rPr>
      </w:pPr>
    </w:p>
    <w:p w:rsidR="00BF2DE6" w:rsidRPr="00177E14" w:rsidRDefault="00BF2DE6" w:rsidP="00BF2DE6">
      <w:pPr>
        <w:spacing w:after="200" w:line="276" w:lineRule="auto"/>
        <w:rPr>
          <w:b/>
          <w:bCs/>
        </w:rPr>
      </w:pPr>
      <w:r w:rsidRPr="00177E14">
        <w:rPr>
          <w:b/>
          <w:bCs/>
        </w:rPr>
        <w:t xml:space="preserve">Proposal </w:t>
      </w:r>
      <w:r>
        <w:rPr>
          <w:b/>
          <w:bCs/>
        </w:rPr>
        <w:t>1</w:t>
      </w:r>
      <w:r w:rsidRPr="00177E14">
        <w:rPr>
          <w:b/>
          <w:bCs/>
        </w:rPr>
        <w:t xml:space="preserve">: Based on considerations of complexity and time diversity (to improve spectral efficiency and power consumption), multiple HARQ processes should be supported in Coverage Enhancement. The number of processes should be </w:t>
      </w:r>
      <w:r>
        <w:rPr>
          <w:b/>
          <w:bCs/>
        </w:rPr>
        <w:t>one or two less than</w:t>
      </w:r>
      <w:r w:rsidRPr="00177E14">
        <w:rPr>
          <w:b/>
          <w:bCs/>
        </w:rPr>
        <w:t xml:space="preserve"> the supported number of processes in Normal Coverage. </w:t>
      </w:r>
    </w:p>
    <w:p w:rsidR="00BF2DE6" w:rsidRDefault="00BF2DE6" w:rsidP="00BF2DE6">
      <w:pPr>
        <w:spacing w:after="200" w:line="276" w:lineRule="auto"/>
        <w:rPr>
          <w:b/>
          <w:bCs/>
        </w:rPr>
      </w:pPr>
      <w:r w:rsidRPr="00C352BF">
        <w:rPr>
          <w:b/>
          <w:bCs/>
        </w:rPr>
        <w:t xml:space="preserve">Proposal </w:t>
      </w:r>
      <w:r>
        <w:rPr>
          <w:b/>
          <w:bCs/>
        </w:rPr>
        <w:t>2</w:t>
      </w:r>
      <w:r w:rsidRPr="00C352BF">
        <w:rPr>
          <w:b/>
          <w:bCs/>
        </w:rPr>
        <w:t xml:space="preserve">: Interleaving of MPDCCH repetitions are FFS. </w:t>
      </w:r>
      <w:r>
        <w:rPr>
          <w:b/>
          <w:bCs/>
        </w:rPr>
        <w:t>The impact to the required overall soft channel bits buffer resources needs to be considered.</w:t>
      </w:r>
      <w:r w:rsidRPr="00C352BF">
        <w:rPr>
          <w:b/>
          <w:bCs/>
        </w:rPr>
        <w:t xml:space="preserve"> </w:t>
      </w:r>
    </w:p>
    <w:p w:rsidR="005F06B0" w:rsidRDefault="005F06B0">
      <w:pPr>
        <w:spacing w:after="200" w:line="276" w:lineRule="auto"/>
        <w:rPr>
          <w:rFonts w:asciiTheme="majorHAnsi" w:eastAsiaTheme="majorEastAsia" w:hAnsiTheme="majorHAnsi" w:cstheme="majorBidi"/>
          <w:b/>
          <w:bCs/>
          <w:sz w:val="28"/>
          <w:szCs w:val="28"/>
        </w:rPr>
      </w:pPr>
    </w:p>
    <w:p w:rsidR="00F6274C" w:rsidRDefault="00F6274C" w:rsidP="00F6274C">
      <w:pPr>
        <w:pStyle w:val="Heading1"/>
        <w:numPr>
          <w:ilvl w:val="0"/>
          <w:numId w:val="1"/>
        </w:numPr>
        <w:rPr>
          <w:color w:val="auto"/>
        </w:rPr>
      </w:pPr>
      <w:r>
        <w:rPr>
          <w:color w:val="auto"/>
        </w:rPr>
        <w:t>References</w:t>
      </w:r>
    </w:p>
    <w:p w:rsidR="005C76EF" w:rsidRDefault="005C76EF">
      <w:pPr>
        <w:spacing w:after="200" w:line="276" w:lineRule="auto"/>
      </w:pPr>
    </w:p>
    <w:p w:rsidR="005C76EF" w:rsidRDefault="005C76EF" w:rsidP="005C76EF">
      <w:pPr>
        <w:pStyle w:val="ListParagraph"/>
        <w:numPr>
          <w:ilvl w:val="0"/>
          <w:numId w:val="27"/>
        </w:numPr>
        <w:spacing w:after="200" w:line="276" w:lineRule="auto"/>
      </w:pPr>
      <w:r>
        <w:t>RP-150492, “Revised WID: Further LTE Physical Layer Enhancements for MTC”</w:t>
      </w:r>
    </w:p>
    <w:p w:rsidR="00D94CAB" w:rsidRDefault="00D94CAB" w:rsidP="00D94CAB">
      <w:pPr>
        <w:pStyle w:val="ListParagraph"/>
        <w:numPr>
          <w:ilvl w:val="0"/>
          <w:numId w:val="27"/>
        </w:numPr>
        <w:spacing w:after="200" w:line="276" w:lineRule="auto"/>
        <w:rPr>
          <w:lang w:eastAsia="ja-JP"/>
        </w:rPr>
      </w:pPr>
      <w:bookmarkStart w:id="5" w:name="_Ref426972597"/>
      <w:r w:rsidRPr="006145E9">
        <w:rPr>
          <w:lang w:eastAsia="ja-JP"/>
        </w:rPr>
        <w:t xml:space="preserve">R1-144513, “Simulation Assumptions for Reference Cases for MTC”, Nokia Networks, </w:t>
      </w:r>
      <w:r>
        <w:rPr>
          <w:lang w:eastAsia="ja-JP"/>
        </w:rPr>
        <w:t xml:space="preserve">3GPP </w:t>
      </w:r>
      <w:r w:rsidRPr="006145E9">
        <w:rPr>
          <w:lang w:eastAsia="ja-JP"/>
        </w:rPr>
        <w:t>RAN1</w:t>
      </w:r>
      <w:r>
        <w:rPr>
          <w:lang w:eastAsia="ja-JP"/>
        </w:rPr>
        <w:t xml:space="preserve"> </w:t>
      </w:r>
      <w:r w:rsidRPr="006145E9">
        <w:rPr>
          <w:lang w:eastAsia="ja-JP"/>
        </w:rPr>
        <w:t>#78bi</w:t>
      </w:r>
      <w:r>
        <w:rPr>
          <w:lang w:eastAsia="ja-JP"/>
        </w:rPr>
        <w:t>s, Oct. 2014</w:t>
      </w:r>
      <w:bookmarkEnd w:id="5"/>
    </w:p>
    <w:p w:rsidR="00D94CAB" w:rsidRDefault="00794928" w:rsidP="000B1136">
      <w:pPr>
        <w:pStyle w:val="ListParagraph"/>
        <w:numPr>
          <w:ilvl w:val="0"/>
          <w:numId w:val="27"/>
        </w:numPr>
        <w:spacing w:after="200" w:line="276" w:lineRule="auto"/>
        <w:rPr>
          <w:rFonts w:asciiTheme="majorBidi" w:hAnsiTheme="majorBidi" w:cstheme="majorBidi"/>
        </w:rPr>
      </w:pPr>
      <w:bookmarkStart w:id="6" w:name="_Ref427004912"/>
      <w:r w:rsidRPr="00794928">
        <w:rPr>
          <w:rFonts w:asciiTheme="majorBidi" w:hAnsiTheme="majorBidi" w:cstheme="majorBidi"/>
        </w:rPr>
        <w:t>R1-15</w:t>
      </w:r>
      <w:r w:rsidR="000B1136">
        <w:rPr>
          <w:rFonts w:asciiTheme="majorBidi" w:hAnsiTheme="majorBidi" w:cstheme="majorBidi"/>
        </w:rPr>
        <w:t>4475</w:t>
      </w:r>
      <w:r w:rsidRPr="00794928">
        <w:rPr>
          <w:rFonts w:asciiTheme="majorBidi" w:hAnsiTheme="majorBidi" w:cstheme="majorBidi"/>
        </w:rPr>
        <w:t>, “MTC Timing Relationship Between MPDCCH and PDSCH</w:t>
      </w:r>
      <w:r>
        <w:rPr>
          <w:rFonts w:asciiTheme="majorBidi" w:hAnsiTheme="majorBidi" w:cstheme="majorBidi"/>
        </w:rPr>
        <w:t>,” Marvell, 3GPP RAN1 #82, Aug. 2015</w:t>
      </w:r>
      <w:bookmarkEnd w:id="6"/>
    </w:p>
    <w:p w:rsidR="009604C5" w:rsidRPr="009604C5" w:rsidRDefault="009604C5" w:rsidP="005C76EF">
      <w:pPr>
        <w:pStyle w:val="ListParagraph"/>
        <w:numPr>
          <w:ilvl w:val="0"/>
          <w:numId w:val="27"/>
        </w:numPr>
        <w:spacing w:after="200" w:line="276" w:lineRule="auto"/>
        <w:rPr>
          <w:rFonts w:asciiTheme="majorBidi" w:hAnsiTheme="majorBidi" w:cstheme="majorBidi"/>
        </w:rPr>
      </w:pPr>
      <w:bookmarkStart w:id="7" w:name="_Ref427075143"/>
      <w:r w:rsidRPr="00E75AB4">
        <w:rPr>
          <w:rFonts w:asciiTheme="majorBidi" w:hAnsiTheme="majorBidi" w:cstheme="majorBidi"/>
        </w:rPr>
        <w:t>R1-153059, “MTC PDSCH Performance in Coverage Enhancement,” Marvell 3GPP RAN1 #81bis, May 2015</w:t>
      </w:r>
      <w:bookmarkEnd w:id="7"/>
    </w:p>
    <w:p w:rsidR="00D94CAB" w:rsidRDefault="00D94CAB" w:rsidP="00D94CAB">
      <w:pPr>
        <w:spacing w:after="200" w:line="276" w:lineRule="auto"/>
      </w:pPr>
    </w:p>
    <w:p w:rsidR="00D94CAB" w:rsidRDefault="00D94CAB" w:rsidP="00D94CAB">
      <w:pPr>
        <w:spacing w:after="200" w:line="276" w:lineRule="auto"/>
      </w:pPr>
    </w:p>
    <w:p w:rsidR="00D94CAB" w:rsidRDefault="00D94CAB" w:rsidP="00D94CAB">
      <w:pPr>
        <w:spacing w:after="200" w:line="276" w:lineRule="auto"/>
      </w:pPr>
    </w:p>
    <w:p w:rsidR="00D94CAB" w:rsidRDefault="00D94CAB" w:rsidP="00D94CAB">
      <w:pPr>
        <w:spacing w:after="200" w:line="276" w:lineRule="auto"/>
      </w:pPr>
    </w:p>
    <w:p w:rsidR="00D94CAB" w:rsidRDefault="00D94CAB" w:rsidP="00D94CAB">
      <w:pPr>
        <w:spacing w:after="200" w:line="276" w:lineRule="auto"/>
      </w:pPr>
    </w:p>
    <w:p w:rsidR="00D94CAB" w:rsidRDefault="00D94CAB">
      <w:pPr>
        <w:spacing w:after="200" w:line="276" w:lineRule="auto"/>
      </w:pPr>
      <w:r>
        <w:br w:type="page"/>
      </w:r>
      <w:bookmarkStart w:id="8" w:name="_GoBack"/>
      <w:bookmarkEnd w:id="8"/>
    </w:p>
    <w:p w:rsidR="00D94CAB" w:rsidRDefault="00D94CAB" w:rsidP="00D94CAB">
      <w:pPr>
        <w:pStyle w:val="Heading1"/>
        <w:rPr>
          <w:color w:val="auto"/>
        </w:rPr>
      </w:pPr>
      <w:r>
        <w:rPr>
          <w:color w:val="auto"/>
        </w:rPr>
        <w:lastRenderedPageBreak/>
        <w:t>Appendix 1: Simulation Assumptions</w:t>
      </w:r>
    </w:p>
    <w:p w:rsidR="00D94CAB" w:rsidRDefault="00D94CAB" w:rsidP="00D94CAB">
      <w:pPr>
        <w:pStyle w:val="NoSpacing"/>
      </w:pPr>
    </w:p>
    <w:p w:rsidR="00D94CAB" w:rsidRDefault="00D94CAB" w:rsidP="002877E5">
      <w:pPr>
        <w:pStyle w:val="NoSpacing"/>
      </w:pPr>
      <w:r>
        <w:t>The simulation assumptions are based on those defined in [</w:t>
      </w:r>
      <w:r w:rsidR="002877E5">
        <w:fldChar w:fldCharType="begin"/>
      </w:r>
      <w:r w:rsidR="002877E5">
        <w:instrText xml:space="preserve"> REF _Ref426972597 \r \h </w:instrText>
      </w:r>
      <w:r w:rsidR="002877E5">
        <w:fldChar w:fldCharType="separate"/>
      </w:r>
      <w:r w:rsidR="002877E5">
        <w:rPr>
          <w:cs/>
        </w:rPr>
        <w:t>‎</w:t>
      </w:r>
      <w:r w:rsidR="002877E5">
        <w:t>2</w:t>
      </w:r>
      <w:r w:rsidR="002877E5">
        <w:fldChar w:fldCharType="end"/>
      </w:r>
      <w:r>
        <w:t xml:space="preserve">] and the below Table. </w:t>
      </w:r>
    </w:p>
    <w:p w:rsidR="00D94CAB" w:rsidRDefault="00D94CAB" w:rsidP="00D94CAB">
      <w:pPr>
        <w:pStyle w:val="NoSpacing"/>
      </w:pPr>
    </w:p>
    <w:tbl>
      <w:tblPr>
        <w:tblW w:w="6357" w:type="dxa"/>
        <w:jc w:val="center"/>
        <w:tblInd w:w="85" w:type="dxa"/>
        <w:tblCellMar>
          <w:left w:w="0" w:type="dxa"/>
          <w:right w:w="0" w:type="dxa"/>
        </w:tblCellMar>
        <w:tblLook w:val="04A0" w:firstRow="1" w:lastRow="0" w:firstColumn="1" w:lastColumn="0" w:noHBand="0" w:noVBand="1"/>
      </w:tblPr>
      <w:tblGrid>
        <w:gridCol w:w="2543"/>
        <w:gridCol w:w="3814"/>
      </w:tblGrid>
      <w:tr w:rsidR="00D94CAB" w:rsidTr="00F92A23">
        <w:trPr>
          <w:trHeight w:val="330"/>
          <w:jc w:val="center"/>
        </w:trPr>
        <w:tc>
          <w:tcPr>
            <w:tcW w:w="2543" w:type="dxa"/>
            <w:tcBorders>
              <w:top w:val="double" w:sz="6" w:space="0" w:color="auto"/>
              <w:left w:val="double" w:sz="6" w:space="0" w:color="auto"/>
              <w:bottom w:val="double" w:sz="6" w:space="0" w:color="auto"/>
              <w:right w:val="double" w:sz="6" w:space="0" w:color="auto"/>
            </w:tcBorders>
            <w:shd w:val="clear" w:color="auto" w:fill="FDE9D9"/>
            <w:tcMar>
              <w:top w:w="0" w:type="dxa"/>
              <w:left w:w="108" w:type="dxa"/>
              <w:bottom w:w="0" w:type="dxa"/>
              <w:right w:w="108" w:type="dxa"/>
            </w:tcMar>
            <w:hideMark/>
          </w:tcPr>
          <w:p w:rsidR="00D94CAB" w:rsidRDefault="00D94CAB" w:rsidP="00F92A23">
            <w:pPr>
              <w:spacing w:before="100" w:beforeAutospacing="1" w:after="100" w:afterAutospacing="1"/>
              <w:jc w:val="center"/>
              <w:rPr>
                <w:b/>
              </w:rPr>
            </w:pPr>
            <w:r>
              <w:rPr>
                <w:b/>
              </w:rPr>
              <w:t>Parameter</w:t>
            </w:r>
          </w:p>
        </w:tc>
        <w:tc>
          <w:tcPr>
            <w:tcW w:w="3814" w:type="dxa"/>
            <w:tcBorders>
              <w:top w:val="double" w:sz="6" w:space="0" w:color="auto"/>
              <w:left w:val="nil"/>
              <w:bottom w:val="double" w:sz="6" w:space="0" w:color="auto"/>
              <w:right w:val="double" w:sz="6" w:space="0" w:color="auto"/>
            </w:tcBorders>
            <w:shd w:val="clear" w:color="auto" w:fill="FDE9D9"/>
            <w:tcMar>
              <w:top w:w="0" w:type="dxa"/>
              <w:left w:w="108" w:type="dxa"/>
              <w:bottom w:w="0" w:type="dxa"/>
              <w:right w:w="108" w:type="dxa"/>
            </w:tcMar>
            <w:hideMark/>
          </w:tcPr>
          <w:p w:rsidR="00D94CAB" w:rsidRDefault="00D94CAB" w:rsidP="00F92A23">
            <w:pPr>
              <w:spacing w:before="100" w:beforeAutospacing="1" w:after="100" w:afterAutospacing="1"/>
              <w:rPr>
                <w:b/>
              </w:rPr>
            </w:pPr>
            <w:r>
              <w:rPr>
                <w:b/>
              </w:rPr>
              <w:t xml:space="preserve">Value </w:t>
            </w:r>
          </w:p>
        </w:tc>
      </w:tr>
      <w:tr w:rsidR="00D94CAB" w:rsidTr="00F92A23">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UE receiver bandwidth</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1.4 MHz</w:t>
            </w:r>
          </w:p>
        </w:tc>
      </w:tr>
      <w:tr w:rsidR="00D94CAB" w:rsidTr="00F92A23">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Frame structure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FDD </w:t>
            </w:r>
          </w:p>
        </w:tc>
      </w:tr>
      <w:tr w:rsidR="00D94CAB" w:rsidTr="00F92A23">
        <w:trPr>
          <w:trHeight w:val="277"/>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Carrier frequency</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2.0 GHz for FDD</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Antenna configuration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2x1 (low correlation)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Channel model</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2877E5">
            <w:pPr>
              <w:spacing w:before="100" w:beforeAutospacing="1" w:after="100" w:afterAutospacing="1"/>
            </w:pPr>
            <w:r>
              <w:t>EPA</w:t>
            </w:r>
            <w:r w:rsidR="002877E5">
              <w:t xml:space="preserve">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Doppler spread</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1 Hz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Transport block size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2877E5">
            <w:pPr>
              <w:spacing w:before="100" w:beforeAutospacing="1" w:after="100" w:afterAutospacing="1"/>
            </w:pPr>
            <w:r>
              <w:t xml:space="preserve">Mostly 504 + CRC (24 bits) – MCS 5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Transmission Mode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TM2</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Modulation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QPSK</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Number of </w:t>
            </w:r>
            <w:r w:rsidR="00F16F7B">
              <w:t>allocated</w:t>
            </w:r>
            <w:r>
              <w:t xml:space="preserve"> PRBs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6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Frequency Hopping</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2877E5" w:rsidP="002877E5">
            <w:pPr>
              <w:spacing w:before="100" w:beforeAutospacing="1" w:after="100" w:afterAutospacing="1"/>
            </w:pPr>
            <w:r>
              <w:t xml:space="preserve">Over system bandwidth of 5 and 10 MHz when enabled. FH cycles through non-overlapping 6 PRB chunks. Frequency hop rate = 20 </w:t>
            </w:r>
            <w:proofErr w:type="spellStart"/>
            <w:r>
              <w:t>ms.</w:t>
            </w:r>
            <w:proofErr w:type="spellEnd"/>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Repetition interval</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D94CAB" w:rsidRDefault="002877E5" w:rsidP="00F92A23">
            <w:pPr>
              <w:spacing w:before="100" w:beforeAutospacing="1" w:after="100" w:afterAutospacing="1"/>
            </w:pPr>
            <w:r>
              <w:t xml:space="preserve">Transmission periods of 1, 4, 10, and 20 </w:t>
            </w:r>
            <w:proofErr w:type="spellStart"/>
            <w:r>
              <w:t>ms.</w:t>
            </w:r>
            <w:proofErr w:type="spellEnd"/>
            <w:r>
              <w:t xml:space="preserve"> (1 </w:t>
            </w:r>
            <w:proofErr w:type="spellStart"/>
            <w:r>
              <w:t>ms</w:t>
            </w:r>
            <w:proofErr w:type="spellEnd"/>
            <w:r>
              <w:t xml:space="preserve"> </w:t>
            </w:r>
            <w:r>
              <w:sym w:font="Wingdings" w:char="F0E8"/>
            </w:r>
            <w:r>
              <w:t xml:space="preserve"> continuous)</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Legacy PDCCH region</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3 OFDM Symbols</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Frequency tracking 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2877E5" w:rsidP="00F92A23">
            <w:pPr>
              <w:spacing w:before="100" w:beforeAutospacing="1" w:after="100" w:afterAutospacing="1"/>
            </w:pPr>
            <w:r>
              <w:t>100</w:t>
            </w:r>
            <w:r w:rsidR="00D94CAB">
              <w:t xml:space="preserve"> Hz</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Timing 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Ideal</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Retransmissions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Incremental Redundancy (cycling through RV numbers 0, 1, 2, 3)</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Channel estimation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2877E5">
            <w:pPr>
              <w:spacing w:before="100" w:beforeAutospacing="1" w:after="100" w:afterAutospacing="1"/>
            </w:pPr>
            <w:r>
              <w:t xml:space="preserve">Practical CRS-based </w:t>
            </w:r>
            <w:r w:rsidR="002877E5">
              <w:t>channel estimation with first-order IIR filtering (equivalent to 2-subframe FIR averaging).</w:t>
            </w:r>
          </w:p>
        </w:tc>
      </w:tr>
    </w:tbl>
    <w:p w:rsidR="00D94CAB" w:rsidRDefault="00D94CAB" w:rsidP="00D94CAB">
      <w:pPr>
        <w:spacing w:after="200" w:line="276" w:lineRule="auto"/>
      </w:pPr>
    </w:p>
    <w:p w:rsidR="005C76EF" w:rsidRDefault="005C76EF" w:rsidP="009C0795">
      <w:pPr>
        <w:spacing w:after="200" w:line="276" w:lineRule="auto"/>
      </w:pPr>
    </w:p>
    <w:p w:rsidR="00222109" w:rsidRDefault="00222109">
      <w:pPr>
        <w:spacing w:after="200" w:line="276" w:lineRule="auto"/>
        <w:rPr>
          <w:rFonts w:asciiTheme="majorHAnsi" w:eastAsiaTheme="majorEastAsia" w:hAnsiTheme="majorHAnsi" w:cstheme="majorBidi"/>
          <w:b/>
          <w:bCs/>
          <w:sz w:val="28"/>
          <w:szCs w:val="28"/>
        </w:rPr>
      </w:pPr>
      <w:r>
        <w:br w:type="page"/>
      </w:r>
    </w:p>
    <w:p w:rsidR="00222109" w:rsidRDefault="00222109" w:rsidP="00222109">
      <w:pPr>
        <w:pStyle w:val="Heading1"/>
        <w:rPr>
          <w:color w:val="auto"/>
        </w:rPr>
      </w:pPr>
      <w:r>
        <w:rPr>
          <w:color w:val="auto"/>
        </w:rPr>
        <w:lastRenderedPageBreak/>
        <w:t>Appendix 2: Simulation Results</w:t>
      </w:r>
      <w:r w:rsidR="00B029D2">
        <w:rPr>
          <w:color w:val="auto"/>
        </w:rPr>
        <w:t>: BLER vs. Number of Repetitions</w:t>
      </w:r>
    </w:p>
    <w:p w:rsidR="00B029D2" w:rsidRPr="00B029D2" w:rsidRDefault="00B029D2" w:rsidP="00B029D2">
      <w:r>
        <w:t xml:space="preserve">Simulation results are shown below for BLER vs. the number of repetitions for EPA 1 Hz channel with 100 Hz frequency error, single receive antenna, 2-subframe channel estimation, SNR = -14.3 dB, and TBS = 504 + CRC = 528 bits. Each figure shows curves for transmission periods of 1 </w:t>
      </w:r>
      <w:proofErr w:type="spellStart"/>
      <w:r>
        <w:t>ms</w:t>
      </w:r>
      <w:proofErr w:type="spellEnd"/>
      <w:r>
        <w:t xml:space="preserve"> (continuous) and 4, 10, and 20 </w:t>
      </w:r>
      <w:proofErr w:type="spellStart"/>
      <w:r>
        <w:t>ms</w:t>
      </w:r>
      <w:proofErr w:type="spellEnd"/>
      <w:r>
        <w:t xml:space="preserve"> (discontinuous). The 3 graphs show results with no frequency hopping, FH within a 5 MHz system bandwidth, and FH within a 10 MHz system bandwidth.</w:t>
      </w:r>
    </w:p>
    <w:p w:rsidR="00B029D2" w:rsidRDefault="00B029D2" w:rsidP="00222109"/>
    <w:p w:rsidR="00B2640D" w:rsidRDefault="00B2640D" w:rsidP="00222109">
      <w:r>
        <w:rPr>
          <w:noProof/>
          <w:lang w:bidi="he-IL"/>
        </w:rPr>
        <w:drawing>
          <wp:inline distT="0" distB="0" distL="0" distR="0" wp14:anchorId="70DDBA72" wp14:editId="05468B13">
            <wp:extent cx="2944368" cy="2203704"/>
            <wp:effectExtent l="0" t="0" r="8890" b="6350"/>
            <wp:docPr id="3" name="Picture 3" descr="G:\A5_LTE\_SIM41_DTX_FH_IIR\png\EPA1TB~1.3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G:\A5_LTE\_SIM41_DTX_FH_IIR\png\EPA1TB~1.3F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r w:rsidR="00FA092B">
        <w:t>- No frequency hopping.</w:t>
      </w:r>
    </w:p>
    <w:p w:rsidR="00B2640D" w:rsidRDefault="00B029D2" w:rsidP="00222109">
      <w:r>
        <w:rPr>
          <w:noProof/>
          <w:lang w:bidi="he-IL"/>
        </w:rPr>
        <w:drawing>
          <wp:inline distT="0" distB="0" distL="0" distR="0" wp14:anchorId="7D2153A9" wp14:editId="02937DD3">
            <wp:extent cx="2944368" cy="2203704"/>
            <wp:effectExtent l="0" t="0" r="8890" b="6350"/>
            <wp:docPr id="2" name="Picture 2" descr="G:\A5_LTE\_SIM41_DTX_FH_IIR\png\EPA1TB~3.3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A5_LTE\_SIM41_DTX_FH_IIR\png\EPA1TB~3.3F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r w:rsidR="00FA092B">
        <w:t>- Frequency hopping in 5 MHz system bandwidth</w:t>
      </w:r>
    </w:p>
    <w:p w:rsidR="00B029D2" w:rsidRDefault="00B2640D" w:rsidP="00222109">
      <w:r>
        <w:rPr>
          <w:noProof/>
          <w:lang w:bidi="he-IL"/>
        </w:rPr>
        <w:drawing>
          <wp:inline distT="0" distB="0" distL="0" distR="0" wp14:anchorId="6F4EABB1" wp14:editId="381D8D4E">
            <wp:extent cx="2944368" cy="2203704"/>
            <wp:effectExtent l="0" t="0" r="8890" b="6350"/>
            <wp:docPr id="1" name="Picture 1" descr="G:\A5_LTE\_SIM41_DTX_FH_IIR\png\EPA1TB~2.3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A5_LTE\_SIM41_DTX_FH_IIR\png\EPA1TB~2.3F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r w:rsidR="00FA092B">
        <w:t>- Frequency hopping in 10 MHz system bandwidth</w:t>
      </w:r>
    </w:p>
    <w:p w:rsidR="00B029D2" w:rsidRDefault="003E4026" w:rsidP="00B029D2">
      <w:pPr>
        <w:pStyle w:val="Heading1"/>
        <w:rPr>
          <w:color w:val="auto"/>
        </w:rPr>
      </w:pPr>
      <w:r>
        <w:rPr>
          <w:color w:val="auto"/>
        </w:rPr>
        <w:lastRenderedPageBreak/>
        <w:t>Appendix 3</w:t>
      </w:r>
      <w:r w:rsidR="00B029D2">
        <w:rPr>
          <w:color w:val="auto"/>
        </w:rPr>
        <w:t>: Simulation Results: BLER vs. SNR</w:t>
      </w:r>
    </w:p>
    <w:p w:rsidR="00FA092B" w:rsidRPr="00B029D2" w:rsidRDefault="00FA092B" w:rsidP="00FA092B">
      <w:r>
        <w:t xml:space="preserve">Simulation results are shown below for BLER vs. SNR for EPA 1 Hz channel with 100 Hz frequency error, single receive antenna, 2-subframe channel estimation, 100 repetitions, and TBS = 504 + CRC = 528 bits. Each figure shows curves for transmission periods of 1 </w:t>
      </w:r>
      <w:proofErr w:type="spellStart"/>
      <w:r>
        <w:t>ms</w:t>
      </w:r>
      <w:proofErr w:type="spellEnd"/>
      <w:r>
        <w:t xml:space="preserve"> (continuous) and 4, 10, and 20 </w:t>
      </w:r>
      <w:proofErr w:type="spellStart"/>
      <w:r>
        <w:t>ms</w:t>
      </w:r>
      <w:proofErr w:type="spellEnd"/>
      <w:r>
        <w:t xml:space="preserve"> (discontinuous). The 3 graphs show results with no frequency hopping, FH within a 5 MHz system bandwidth, and FH within a 10 MHz system bandwidth.</w:t>
      </w:r>
    </w:p>
    <w:p w:rsidR="00FA092B" w:rsidRPr="00FA092B" w:rsidRDefault="00FA092B" w:rsidP="00FA092B"/>
    <w:p w:rsidR="00FA092B" w:rsidRDefault="00FA092B" w:rsidP="00FA092B">
      <w:r>
        <w:rPr>
          <w:noProof/>
          <w:lang w:bidi="he-IL"/>
        </w:rPr>
        <w:drawing>
          <wp:inline distT="0" distB="0" distL="0" distR="0" wp14:anchorId="4A66A278" wp14:editId="5E73ACF5">
            <wp:extent cx="2944368" cy="2203704"/>
            <wp:effectExtent l="0" t="0" r="8890" b="6350"/>
            <wp:docPr id="5" name="Picture 5" descr="G:\A5_LTE\_SIM43_DTX_FH_VarySNR\png\EPA1 TBS=0504 NumRxAnt=1 NumTx=100 FErr=100Hz FH-OFF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A5_LTE\_SIM43_DTX_FH_VarySNR\png\EPA1 TBS=0504 NumRxAnt=1 NumTx=100 FErr=100Hz FH-OFF .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r>
        <w:t>- No frequency hopping</w:t>
      </w:r>
    </w:p>
    <w:p w:rsidR="00FA092B" w:rsidRDefault="00B2640D" w:rsidP="00FA092B">
      <w:r>
        <w:rPr>
          <w:noProof/>
          <w:lang w:bidi="he-IL"/>
        </w:rPr>
        <w:drawing>
          <wp:inline distT="0" distB="0" distL="0" distR="0" wp14:anchorId="16BF2B44" wp14:editId="3EEB97A2">
            <wp:extent cx="2944368" cy="2203704"/>
            <wp:effectExtent l="0" t="0" r="8890" b="6350"/>
            <wp:docPr id="6" name="Picture 6" descr="G:\A5_LTE\_SIM43_DTX_FH_VarySNR\png\EPA1 TBS=0504 NumRxAnt=1 NumTx=100 FErr=100Hz FH-5MHz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A5_LTE\_SIM43_DTX_FH_VarySNR\png\EPA1 TBS=0504 NumRxAnt=1 NumTx=100 FErr=100Hz FH-5MHz .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r w:rsidR="00FA092B">
        <w:t>- Frequency hopping in 5 MHz system bandwidth</w:t>
      </w:r>
    </w:p>
    <w:p w:rsidR="00B029D2" w:rsidRPr="00B029D2" w:rsidRDefault="00FA092B" w:rsidP="00FA092B">
      <w:r>
        <w:rPr>
          <w:noProof/>
          <w:lang w:bidi="he-IL"/>
        </w:rPr>
        <w:drawing>
          <wp:inline distT="0" distB="0" distL="0" distR="0" wp14:anchorId="04E487D8" wp14:editId="4E3C2855">
            <wp:extent cx="2944368" cy="2203704"/>
            <wp:effectExtent l="0" t="0" r="8890" b="6350"/>
            <wp:docPr id="4" name="Picture 4" descr="G:\A5_LTE\_SIM43_DTX_FH_VarySNR\png\EPA1 TBS=0504 NumRxAnt=1 NumTx=100 FErr=100Hz FH-10MHz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A5_LTE\_SIM43_DTX_FH_VarySNR\png\EPA1 TBS=0504 NumRxAnt=1 NumTx=100 FErr=100Hz FH-10MHz .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4368" cy="2203704"/>
                    </a:xfrm>
                    <a:prstGeom prst="rect">
                      <a:avLst/>
                    </a:prstGeom>
                    <a:noFill/>
                    <a:ln>
                      <a:noFill/>
                    </a:ln>
                  </pic:spPr>
                </pic:pic>
              </a:graphicData>
            </a:graphic>
          </wp:inline>
        </w:drawing>
      </w:r>
      <w:r>
        <w:t>- Frequency hopping in 10 MHz system bandwidth</w:t>
      </w:r>
    </w:p>
    <w:sectPr w:rsidR="00B029D2" w:rsidRPr="00B029D2" w:rsidSect="007A1D8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F49"/>
    <w:multiLevelType w:val="hybridMultilevel"/>
    <w:tmpl w:val="D2BC3308"/>
    <w:lvl w:ilvl="0" w:tplc="05502ED6">
      <w:start w:val="1"/>
      <w:numFmt w:val="bullet"/>
      <w:lvlText w:val="•"/>
      <w:lvlJc w:val="left"/>
      <w:pPr>
        <w:tabs>
          <w:tab w:val="num" w:pos="360"/>
        </w:tabs>
        <w:ind w:left="360" w:hanging="360"/>
      </w:pPr>
      <w:rPr>
        <w:rFonts w:ascii="Arial" w:hAnsi="Arial" w:hint="default"/>
      </w:rPr>
    </w:lvl>
    <w:lvl w:ilvl="1" w:tplc="49B05620">
      <w:start w:val="2515"/>
      <w:numFmt w:val="bullet"/>
      <w:lvlText w:val="–"/>
      <w:lvlJc w:val="left"/>
      <w:pPr>
        <w:tabs>
          <w:tab w:val="num" w:pos="1080"/>
        </w:tabs>
        <w:ind w:left="1080" w:hanging="360"/>
      </w:pPr>
      <w:rPr>
        <w:rFonts w:ascii="Arial" w:hAnsi="Arial" w:hint="default"/>
      </w:rPr>
    </w:lvl>
    <w:lvl w:ilvl="2" w:tplc="A260D7F0" w:tentative="1">
      <w:start w:val="1"/>
      <w:numFmt w:val="bullet"/>
      <w:lvlText w:val="•"/>
      <w:lvlJc w:val="left"/>
      <w:pPr>
        <w:tabs>
          <w:tab w:val="num" w:pos="1800"/>
        </w:tabs>
        <w:ind w:left="1800" w:hanging="360"/>
      </w:pPr>
      <w:rPr>
        <w:rFonts w:ascii="Arial" w:hAnsi="Arial" w:hint="default"/>
      </w:rPr>
    </w:lvl>
    <w:lvl w:ilvl="3" w:tplc="9112FA5E" w:tentative="1">
      <w:start w:val="1"/>
      <w:numFmt w:val="bullet"/>
      <w:lvlText w:val="•"/>
      <w:lvlJc w:val="left"/>
      <w:pPr>
        <w:tabs>
          <w:tab w:val="num" w:pos="2520"/>
        </w:tabs>
        <w:ind w:left="2520" w:hanging="360"/>
      </w:pPr>
      <w:rPr>
        <w:rFonts w:ascii="Arial" w:hAnsi="Arial" w:hint="default"/>
      </w:rPr>
    </w:lvl>
    <w:lvl w:ilvl="4" w:tplc="8F646392" w:tentative="1">
      <w:start w:val="1"/>
      <w:numFmt w:val="bullet"/>
      <w:lvlText w:val="•"/>
      <w:lvlJc w:val="left"/>
      <w:pPr>
        <w:tabs>
          <w:tab w:val="num" w:pos="3240"/>
        </w:tabs>
        <w:ind w:left="3240" w:hanging="360"/>
      </w:pPr>
      <w:rPr>
        <w:rFonts w:ascii="Arial" w:hAnsi="Arial" w:hint="default"/>
      </w:rPr>
    </w:lvl>
    <w:lvl w:ilvl="5" w:tplc="58FE93B2" w:tentative="1">
      <w:start w:val="1"/>
      <w:numFmt w:val="bullet"/>
      <w:lvlText w:val="•"/>
      <w:lvlJc w:val="left"/>
      <w:pPr>
        <w:tabs>
          <w:tab w:val="num" w:pos="3960"/>
        </w:tabs>
        <w:ind w:left="3960" w:hanging="360"/>
      </w:pPr>
      <w:rPr>
        <w:rFonts w:ascii="Arial" w:hAnsi="Arial" w:hint="default"/>
      </w:rPr>
    </w:lvl>
    <w:lvl w:ilvl="6" w:tplc="AE0EE5FE" w:tentative="1">
      <w:start w:val="1"/>
      <w:numFmt w:val="bullet"/>
      <w:lvlText w:val="•"/>
      <w:lvlJc w:val="left"/>
      <w:pPr>
        <w:tabs>
          <w:tab w:val="num" w:pos="4680"/>
        </w:tabs>
        <w:ind w:left="4680" w:hanging="360"/>
      </w:pPr>
      <w:rPr>
        <w:rFonts w:ascii="Arial" w:hAnsi="Arial" w:hint="default"/>
      </w:rPr>
    </w:lvl>
    <w:lvl w:ilvl="7" w:tplc="C0E23FB2" w:tentative="1">
      <w:start w:val="1"/>
      <w:numFmt w:val="bullet"/>
      <w:lvlText w:val="•"/>
      <w:lvlJc w:val="left"/>
      <w:pPr>
        <w:tabs>
          <w:tab w:val="num" w:pos="5400"/>
        </w:tabs>
        <w:ind w:left="5400" w:hanging="360"/>
      </w:pPr>
      <w:rPr>
        <w:rFonts w:ascii="Arial" w:hAnsi="Arial" w:hint="default"/>
      </w:rPr>
    </w:lvl>
    <w:lvl w:ilvl="8" w:tplc="2046821E" w:tentative="1">
      <w:start w:val="1"/>
      <w:numFmt w:val="bullet"/>
      <w:lvlText w:val="•"/>
      <w:lvlJc w:val="left"/>
      <w:pPr>
        <w:tabs>
          <w:tab w:val="num" w:pos="6120"/>
        </w:tabs>
        <w:ind w:left="6120" w:hanging="360"/>
      </w:pPr>
      <w:rPr>
        <w:rFonts w:ascii="Arial" w:hAnsi="Arial" w:hint="default"/>
      </w:rPr>
    </w:lvl>
  </w:abstractNum>
  <w:abstractNum w:abstractNumId="1">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6A2F41"/>
    <w:multiLevelType w:val="hybridMultilevel"/>
    <w:tmpl w:val="1FC06348"/>
    <w:lvl w:ilvl="0" w:tplc="2C52D080">
      <w:start w:val="1"/>
      <w:numFmt w:val="bullet"/>
      <w:lvlText w:val="•"/>
      <w:lvlJc w:val="left"/>
      <w:pPr>
        <w:tabs>
          <w:tab w:val="num" w:pos="360"/>
        </w:tabs>
        <w:ind w:left="360" w:hanging="360"/>
      </w:pPr>
      <w:rPr>
        <w:rFonts w:ascii="Arial" w:hAnsi="Arial" w:hint="default"/>
      </w:rPr>
    </w:lvl>
    <w:lvl w:ilvl="1" w:tplc="5E08B270">
      <w:start w:val="1863"/>
      <w:numFmt w:val="bullet"/>
      <w:lvlText w:val="–"/>
      <w:lvlJc w:val="left"/>
      <w:pPr>
        <w:tabs>
          <w:tab w:val="num" w:pos="1080"/>
        </w:tabs>
        <w:ind w:left="1080" w:hanging="360"/>
      </w:pPr>
      <w:rPr>
        <w:rFonts w:ascii="Arial" w:hAnsi="Arial" w:hint="default"/>
      </w:rPr>
    </w:lvl>
    <w:lvl w:ilvl="2" w:tplc="EC9A61FE">
      <w:start w:val="1863"/>
      <w:numFmt w:val="bullet"/>
      <w:lvlText w:val="•"/>
      <w:lvlJc w:val="left"/>
      <w:pPr>
        <w:tabs>
          <w:tab w:val="num" w:pos="1800"/>
        </w:tabs>
        <w:ind w:left="1800" w:hanging="360"/>
      </w:pPr>
      <w:rPr>
        <w:rFonts w:ascii="Arial" w:hAnsi="Arial" w:hint="default"/>
      </w:rPr>
    </w:lvl>
    <w:lvl w:ilvl="3" w:tplc="D2660A1A" w:tentative="1">
      <w:start w:val="1"/>
      <w:numFmt w:val="bullet"/>
      <w:lvlText w:val="•"/>
      <w:lvlJc w:val="left"/>
      <w:pPr>
        <w:tabs>
          <w:tab w:val="num" w:pos="2520"/>
        </w:tabs>
        <w:ind w:left="2520" w:hanging="360"/>
      </w:pPr>
      <w:rPr>
        <w:rFonts w:ascii="Arial" w:hAnsi="Arial" w:hint="default"/>
      </w:rPr>
    </w:lvl>
    <w:lvl w:ilvl="4" w:tplc="E0C68E76" w:tentative="1">
      <w:start w:val="1"/>
      <w:numFmt w:val="bullet"/>
      <w:lvlText w:val="•"/>
      <w:lvlJc w:val="left"/>
      <w:pPr>
        <w:tabs>
          <w:tab w:val="num" w:pos="3240"/>
        </w:tabs>
        <w:ind w:left="3240" w:hanging="360"/>
      </w:pPr>
      <w:rPr>
        <w:rFonts w:ascii="Arial" w:hAnsi="Arial" w:hint="default"/>
      </w:rPr>
    </w:lvl>
    <w:lvl w:ilvl="5" w:tplc="BE868E9C" w:tentative="1">
      <w:start w:val="1"/>
      <w:numFmt w:val="bullet"/>
      <w:lvlText w:val="•"/>
      <w:lvlJc w:val="left"/>
      <w:pPr>
        <w:tabs>
          <w:tab w:val="num" w:pos="3960"/>
        </w:tabs>
        <w:ind w:left="3960" w:hanging="360"/>
      </w:pPr>
      <w:rPr>
        <w:rFonts w:ascii="Arial" w:hAnsi="Arial" w:hint="default"/>
      </w:rPr>
    </w:lvl>
    <w:lvl w:ilvl="6" w:tplc="696A6B62" w:tentative="1">
      <w:start w:val="1"/>
      <w:numFmt w:val="bullet"/>
      <w:lvlText w:val="•"/>
      <w:lvlJc w:val="left"/>
      <w:pPr>
        <w:tabs>
          <w:tab w:val="num" w:pos="4680"/>
        </w:tabs>
        <w:ind w:left="4680" w:hanging="360"/>
      </w:pPr>
      <w:rPr>
        <w:rFonts w:ascii="Arial" w:hAnsi="Arial" w:hint="default"/>
      </w:rPr>
    </w:lvl>
    <w:lvl w:ilvl="7" w:tplc="30AEC8D4" w:tentative="1">
      <w:start w:val="1"/>
      <w:numFmt w:val="bullet"/>
      <w:lvlText w:val="•"/>
      <w:lvlJc w:val="left"/>
      <w:pPr>
        <w:tabs>
          <w:tab w:val="num" w:pos="5400"/>
        </w:tabs>
        <w:ind w:left="5400" w:hanging="360"/>
      </w:pPr>
      <w:rPr>
        <w:rFonts w:ascii="Arial" w:hAnsi="Arial" w:hint="default"/>
      </w:rPr>
    </w:lvl>
    <w:lvl w:ilvl="8" w:tplc="F252D3B4" w:tentative="1">
      <w:start w:val="1"/>
      <w:numFmt w:val="bullet"/>
      <w:lvlText w:val="•"/>
      <w:lvlJc w:val="left"/>
      <w:pPr>
        <w:tabs>
          <w:tab w:val="num" w:pos="6120"/>
        </w:tabs>
        <w:ind w:left="6120" w:hanging="360"/>
      </w:pPr>
      <w:rPr>
        <w:rFonts w:ascii="Arial" w:hAnsi="Arial" w:hint="default"/>
      </w:rPr>
    </w:lvl>
  </w:abstractNum>
  <w:abstractNum w:abstractNumId="5">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6">
    <w:nsid w:val="21C40F2A"/>
    <w:multiLevelType w:val="hybridMultilevel"/>
    <w:tmpl w:val="6EFA0D5E"/>
    <w:lvl w:ilvl="0" w:tplc="8C2C09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4">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5">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19">
    <w:nsid w:val="5A5B1D9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1">
    <w:nsid w:val="61105B0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3">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abstractNum w:abstractNumId="25">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AF2D9E"/>
    <w:multiLevelType w:val="hybridMultilevel"/>
    <w:tmpl w:val="E626BD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nsid w:val="7CA225E4"/>
    <w:multiLevelType w:val="hybridMultilevel"/>
    <w:tmpl w:val="F75E7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2"/>
  </w:num>
  <w:num w:numId="3">
    <w:abstractNumId w:val="22"/>
  </w:num>
  <w:num w:numId="4">
    <w:abstractNumId w:val="20"/>
  </w:num>
  <w:num w:numId="5">
    <w:abstractNumId w:val="18"/>
  </w:num>
  <w:num w:numId="6">
    <w:abstractNumId w:val="24"/>
  </w:num>
  <w:num w:numId="7">
    <w:abstractNumId w:val="8"/>
  </w:num>
  <w:num w:numId="8">
    <w:abstractNumId w:val="7"/>
  </w:num>
  <w:num w:numId="9">
    <w:abstractNumId w:val="11"/>
  </w:num>
  <w:num w:numId="10">
    <w:abstractNumId w:val="16"/>
  </w:num>
  <w:num w:numId="11">
    <w:abstractNumId w:val="17"/>
  </w:num>
  <w:num w:numId="12">
    <w:abstractNumId w:val="10"/>
  </w:num>
  <w:num w:numId="13">
    <w:abstractNumId w:val="2"/>
  </w:num>
  <w:num w:numId="14">
    <w:abstractNumId w:val="9"/>
  </w:num>
  <w:num w:numId="15">
    <w:abstractNumId w:val="3"/>
  </w:num>
  <w:num w:numId="16">
    <w:abstractNumId w:val="1"/>
  </w:num>
  <w:num w:numId="17">
    <w:abstractNumId w:val="23"/>
  </w:num>
  <w:num w:numId="18">
    <w:abstractNumId w:val="25"/>
  </w:num>
  <w:num w:numId="19">
    <w:abstractNumId w:val="0"/>
  </w:num>
  <w:num w:numId="20">
    <w:abstractNumId w:val="13"/>
  </w:num>
  <w:num w:numId="21">
    <w:abstractNumId w:val="14"/>
  </w:num>
  <w:num w:numId="22">
    <w:abstractNumId w:val="5"/>
  </w:num>
  <w:num w:numId="23">
    <w:abstractNumId w:val="15"/>
  </w:num>
  <w:num w:numId="24">
    <w:abstractNumId w:val="4"/>
  </w:num>
  <w:num w:numId="25">
    <w:abstractNumId w:val="27"/>
  </w:num>
  <w:num w:numId="26">
    <w:abstractNumId w:val="6"/>
  </w:num>
  <w:num w:numId="27">
    <w:abstractNumId w:val="21"/>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13371"/>
    <w:rsid w:val="00013FD7"/>
    <w:rsid w:val="000205B1"/>
    <w:rsid w:val="00023B02"/>
    <w:rsid w:val="000302B0"/>
    <w:rsid w:val="00034BA6"/>
    <w:rsid w:val="00060F85"/>
    <w:rsid w:val="00065146"/>
    <w:rsid w:val="00066BE2"/>
    <w:rsid w:val="00080BCD"/>
    <w:rsid w:val="00082CE3"/>
    <w:rsid w:val="000900B8"/>
    <w:rsid w:val="00090E99"/>
    <w:rsid w:val="00097C14"/>
    <w:rsid w:val="000A1358"/>
    <w:rsid w:val="000A3070"/>
    <w:rsid w:val="000B1136"/>
    <w:rsid w:val="000B4483"/>
    <w:rsid w:val="000C37F6"/>
    <w:rsid w:val="000E108E"/>
    <w:rsid w:val="000E42E1"/>
    <w:rsid w:val="000E5A27"/>
    <w:rsid w:val="00176515"/>
    <w:rsid w:val="00177E14"/>
    <w:rsid w:val="0018438D"/>
    <w:rsid w:val="001916CB"/>
    <w:rsid w:val="001926EF"/>
    <w:rsid w:val="00193CF3"/>
    <w:rsid w:val="001A0208"/>
    <w:rsid w:val="001A39F2"/>
    <w:rsid w:val="001A531D"/>
    <w:rsid w:val="001A64FF"/>
    <w:rsid w:val="001B2CBB"/>
    <w:rsid w:val="001C182C"/>
    <w:rsid w:val="001D3F69"/>
    <w:rsid w:val="001E0BB8"/>
    <w:rsid w:val="001E0E88"/>
    <w:rsid w:val="001E46A5"/>
    <w:rsid w:val="00203B90"/>
    <w:rsid w:val="00205E0F"/>
    <w:rsid w:val="00207C53"/>
    <w:rsid w:val="00213954"/>
    <w:rsid w:val="00217D0A"/>
    <w:rsid w:val="00222109"/>
    <w:rsid w:val="00242999"/>
    <w:rsid w:val="00247C5F"/>
    <w:rsid w:val="00265C17"/>
    <w:rsid w:val="00270690"/>
    <w:rsid w:val="00281A0E"/>
    <w:rsid w:val="00285707"/>
    <w:rsid w:val="00286BDE"/>
    <w:rsid w:val="002877E5"/>
    <w:rsid w:val="00294A93"/>
    <w:rsid w:val="002A057C"/>
    <w:rsid w:val="002D5C9D"/>
    <w:rsid w:val="002E0935"/>
    <w:rsid w:val="002E4D5E"/>
    <w:rsid w:val="002F5EFF"/>
    <w:rsid w:val="00305A07"/>
    <w:rsid w:val="00311696"/>
    <w:rsid w:val="00322F4E"/>
    <w:rsid w:val="00331C5C"/>
    <w:rsid w:val="003333E3"/>
    <w:rsid w:val="0033441C"/>
    <w:rsid w:val="00345F79"/>
    <w:rsid w:val="00391E39"/>
    <w:rsid w:val="003947DF"/>
    <w:rsid w:val="003A1C22"/>
    <w:rsid w:val="003A6BF2"/>
    <w:rsid w:val="003B6B69"/>
    <w:rsid w:val="003C44FB"/>
    <w:rsid w:val="003E1E4B"/>
    <w:rsid w:val="003E4026"/>
    <w:rsid w:val="003F059C"/>
    <w:rsid w:val="003F235A"/>
    <w:rsid w:val="00403F0A"/>
    <w:rsid w:val="004077AD"/>
    <w:rsid w:val="0042532D"/>
    <w:rsid w:val="004365A7"/>
    <w:rsid w:val="00452C67"/>
    <w:rsid w:val="004874E6"/>
    <w:rsid w:val="004E1125"/>
    <w:rsid w:val="004E2E35"/>
    <w:rsid w:val="004F0DDE"/>
    <w:rsid w:val="004F109F"/>
    <w:rsid w:val="005268E1"/>
    <w:rsid w:val="0053445B"/>
    <w:rsid w:val="00550070"/>
    <w:rsid w:val="0059081E"/>
    <w:rsid w:val="005A52D4"/>
    <w:rsid w:val="005C4ADC"/>
    <w:rsid w:val="005C6011"/>
    <w:rsid w:val="005C61C3"/>
    <w:rsid w:val="005C76EF"/>
    <w:rsid w:val="005F06B0"/>
    <w:rsid w:val="0060026B"/>
    <w:rsid w:val="00604064"/>
    <w:rsid w:val="00604E79"/>
    <w:rsid w:val="00610D88"/>
    <w:rsid w:val="00637949"/>
    <w:rsid w:val="00637EFC"/>
    <w:rsid w:val="0064542F"/>
    <w:rsid w:val="00657503"/>
    <w:rsid w:val="00673266"/>
    <w:rsid w:val="00685E27"/>
    <w:rsid w:val="00695613"/>
    <w:rsid w:val="006A5632"/>
    <w:rsid w:val="006A6F11"/>
    <w:rsid w:val="006B5A1E"/>
    <w:rsid w:val="006D4B15"/>
    <w:rsid w:val="0070140A"/>
    <w:rsid w:val="007029DB"/>
    <w:rsid w:val="0070542E"/>
    <w:rsid w:val="007113A5"/>
    <w:rsid w:val="0073799F"/>
    <w:rsid w:val="007427C0"/>
    <w:rsid w:val="00745E5B"/>
    <w:rsid w:val="00752B7A"/>
    <w:rsid w:val="007572E3"/>
    <w:rsid w:val="007770E7"/>
    <w:rsid w:val="007822C6"/>
    <w:rsid w:val="00783FE3"/>
    <w:rsid w:val="00792D10"/>
    <w:rsid w:val="00794928"/>
    <w:rsid w:val="00794E34"/>
    <w:rsid w:val="007A1D80"/>
    <w:rsid w:val="007B2D6D"/>
    <w:rsid w:val="007C0B03"/>
    <w:rsid w:val="007E449C"/>
    <w:rsid w:val="007E6643"/>
    <w:rsid w:val="007F67D5"/>
    <w:rsid w:val="00802A60"/>
    <w:rsid w:val="0081767E"/>
    <w:rsid w:val="008203DB"/>
    <w:rsid w:val="00820C83"/>
    <w:rsid w:val="008240AA"/>
    <w:rsid w:val="00826ECB"/>
    <w:rsid w:val="0084077B"/>
    <w:rsid w:val="00864209"/>
    <w:rsid w:val="00874517"/>
    <w:rsid w:val="008B37F2"/>
    <w:rsid w:val="008D31AF"/>
    <w:rsid w:val="008E11D3"/>
    <w:rsid w:val="008F6B95"/>
    <w:rsid w:val="00915A79"/>
    <w:rsid w:val="00922342"/>
    <w:rsid w:val="0092595E"/>
    <w:rsid w:val="00932350"/>
    <w:rsid w:val="009339C8"/>
    <w:rsid w:val="00933B9B"/>
    <w:rsid w:val="00946E2E"/>
    <w:rsid w:val="009518F3"/>
    <w:rsid w:val="00957426"/>
    <w:rsid w:val="009604C5"/>
    <w:rsid w:val="009728B9"/>
    <w:rsid w:val="00977068"/>
    <w:rsid w:val="009828A1"/>
    <w:rsid w:val="0099057E"/>
    <w:rsid w:val="009915BC"/>
    <w:rsid w:val="0099508C"/>
    <w:rsid w:val="009A0ABA"/>
    <w:rsid w:val="009A0D66"/>
    <w:rsid w:val="009B15B0"/>
    <w:rsid w:val="009B1E84"/>
    <w:rsid w:val="009C0795"/>
    <w:rsid w:val="009D1EBE"/>
    <w:rsid w:val="009D684F"/>
    <w:rsid w:val="009F07AB"/>
    <w:rsid w:val="00A0077F"/>
    <w:rsid w:val="00A01A22"/>
    <w:rsid w:val="00A033E6"/>
    <w:rsid w:val="00A05A9C"/>
    <w:rsid w:val="00A10397"/>
    <w:rsid w:val="00A32E27"/>
    <w:rsid w:val="00A3342D"/>
    <w:rsid w:val="00A53E26"/>
    <w:rsid w:val="00A56DCF"/>
    <w:rsid w:val="00A574AC"/>
    <w:rsid w:val="00A62ABA"/>
    <w:rsid w:val="00A764AC"/>
    <w:rsid w:val="00A84E6E"/>
    <w:rsid w:val="00A91E14"/>
    <w:rsid w:val="00A95AFF"/>
    <w:rsid w:val="00A97817"/>
    <w:rsid w:val="00AA76AA"/>
    <w:rsid w:val="00AB33F7"/>
    <w:rsid w:val="00AB4325"/>
    <w:rsid w:val="00AB505E"/>
    <w:rsid w:val="00AB72A5"/>
    <w:rsid w:val="00AC2BD8"/>
    <w:rsid w:val="00AC472D"/>
    <w:rsid w:val="00AE571A"/>
    <w:rsid w:val="00AE639F"/>
    <w:rsid w:val="00B029D2"/>
    <w:rsid w:val="00B0691B"/>
    <w:rsid w:val="00B17B95"/>
    <w:rsid w:val="00B20062"/>
    <w:rsid w:val="00B2640D"/>
    <w:rsid w:val="00B34F22"/>
    <w:rsid w:val="00B36623"/>
    <w:rsid w:val="00B5641D"/>
    <w:rsid w:val="00B57E76"/>
    <w:rsid w:val="00B64242"/>
    <w:rsid w:val="00B66CBF"/>
    <w:rsid w:val="00B71FA5"/>
    <w:rsid w:val="00B978E2"/>
    <w:rsid w:val="00BF0880"/>
    <w:rsid w:val="00BF2DE6"/>
    <w:rsid w:val="00C02477"/>
    <w:rsid w:val="00C07F84"/>
    <w:rsid w:val="00C1477F"/>
    <w:rsid w:val="00C2137B"/>
    <w:rsid w:val="00C352BF"/>
    <w:rsid w:val="00C3736E"/>
    <w:rsid w:val="00C61B6D"/>
    <w:rsid w:val="00C66530"/>
    <w:rsid w:val="00C80CCE"/>
    <w:rsid w:val="00CA1295"/>
    <w:rsid w:val="00CB1B0E"/>
    <w:rsid w:val="00CB5029"/>
    <w:rsid w:val="00CC2D29"/>
    <w:rsid w:val="00CD6E1E"/>
    <w:rsid w:val="00CD7E5B"/>
    <w:rsid w:val="00CE4C4B"/>
    <w:rsid w:val="00CE53A2"/>
    <w:rsid w:val="00CE753D"/>
    <w:rsid w:val="00CF3266"/>
    <w:rsid w:val="00CF479F"/>
    <w:rsid w:val="00D32DF3"/>
    <w:rsid w:val="00D51B3F"/>
    <w:rsid w:val="00D55CC6"/>
    <w:rsid w:val="00D8592B"/>
    <w:rsid w:val="00D87B2D"/>
    <w:rsid w:val="00D94CAB"/>
    <w:rsid w:val="00DB3896"/>
    <w:rsid w:val="00DC3FA7"/>
    <w:rsid w:val="00DE6114"/>
    <w:rsid w:val="00DF4E67"/>
    <w:rsid w:val="00E04763"/>
    <w:rsid w:val="00E126EF"/>
    <w:rsid w:val="00E14328"/>
    <w:rsid w:val="00E42215"/>
    <w:rsid w:val="00E75AB4"/>
    <w:rsid w:val="00EA5761"/>
    <w:rsid w:val="00EB4FD4"/>
    <w:rsid w:val="00EC0604"/>
    <w:rsid w:val="00ED2FB8"/>
    <w:rsid w:val="00ED6409"/>
    <w:rsid w:val="00EE23E8"/>
    <w:rsid w:val="00EE44C9"/>
    <w:rsid w:val="00EF5163"/>
    <w:rsid w:val="00F05F94"/>
    <w:rsid w:val="00F12AD2"/>
    <w:rsid w:val="00F14A2E"/>
    <w:rsid w:val="00F16F7B"/>
    <w:rsid w:val="00F23AD6"/>
    <w:rsid w:val="00F40437"/>
    <w:rsid w:val="00F44246"/>
    <w:rsid w:val="00F5055A"/>
    <w:rsid w:val="00F55690"/>
    <w:rsid w:val="00F6274C"/>
    <w:rsid w:val="00F87D34"/>
    <w:rsid w:val="00F90C43"/>
    <w:rsid w:val="00F93DFC"/>
    <w:rsid w:val="00F94D02"/>
    <w:rsid w:val="00F96018"/>
    <w:rsid w:val="00FA092B"/>
    <w:rsid w:val="00FB7E45"/>
    <w:rsid w:val="00FD01F2"/>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482454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2.bin"/><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6D72A-5B4C-4011-A7F9-583F72C1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14</cp:revision>
  <cp:lastPrinted>2015-08-06T16:04:00Z</cp:lastPrinted>
  <dcterms:created xsi:type="dcterms:W3CDTF">2015-08-11T16:49:00Z</dcterms:created>
  <dcterms:modified xsi:type="dcterms:W3CDTF">2015-08-13T16:06:00Z</dcterms:modified>
</cp:coreProperties>
</file>